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807-8k_spectral.htm"/>
      <w:bookmarkStart w:id="1" w:name="ksea03018078k_spectral"/>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1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xdx_903_edei--EntityRegistrantName_c2026"/>
      <w:bookmarkEnd w:id="4"/>
      <w:r>
        <w:rPr>
          <w:rFonts w:ascii="Times New Roman;Times;Serif" w:hAnsi="Times New Roman;Times;Serif"/>
          <w:b/>
          <w:i w:val="false"/>
          <w:caps/>
          <w:sz w:val="20"/>
        </w:rPr>
        <w:t>SPECTRAL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811"/>
            <w:bookmarkEnd w:id="6"/>
            <w:r>
              <w:rPr>
                <w:rFonts w:ascii="Times New Roman;Times;Serif" w:hAnsi="Times New Roman;Times;Serif"/>
                <w:b/>
                <w:sz w:val="20"/>
              </w:rPr>
              <w:t>001-40058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85-3987148</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val="false"/>
                <w:i w:val="false"/>
                <w:caps w:val="false"/>
                <w:smallCaps w:val="false"/>
                <w:sz w:val="20"/>
              </w:rPr>
              <w:t xml:space="preserve">2515 McKinney Avenue, </w:t>
            </w:r>
            <w:bookmarkStart w:id="9" w:name="xdx_905_edei--EntityAddressAddressLine2_"/>
            <w:bookmarkEnd w:id="9"/>
            <w:r>
              <w:rPr>
                <w:rFonts w:ascii="Times New Roman;Times;Serif" w:hAnsi="Times New Roman;Times;Serif"/>
                <w:b w:val="false"/>
                <w:i w:val="false"/>
                <w:caps w:val="false"/>
                <w:smallCaps w:val="false"/>
                <w:sz w:val="20"/>
              </w:rPr>
              <w:t>Suite 1000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4_edei--EntityAddressCityOrTown_c2"/>
            <w:bookmarkEnd w:id="10"/>
            <w:r>
              <w:rPr>
                <w:rFonts w:ascii="Times New Roman;Times;Serif" w:hAnsi="Times New Roman;Times;Serif"/>
                <w:b w:val="false"/>
                <w:i w:val="false"/>
                <w:caps w:val="false"/>
                <w:smallCaps w:val="false"/>
                <w:sz w:val="20"/>
              </w:rPr>
              <w:t xml:space="preserve">Dallas, </w:t>
            </w:r>
            <w:bookmarkStart w:id="11" w:name="xdx_90D_edei--EntityAddressStateOrProvin"/>
            <w:bookmarkEnd w:id="11"/>
            <w:r>
              <w:rPr>
                <w:rFonts w:ascii="Times New Roman;Times;Serif" w:hAnsi="Times New Roman;Times;Serif"/>
                <w:b w:val="false"/>
                <w:i w:val="false"/>
                <w:caps w:val="false"/>
                <w:smallCaps w:val="false"/>
                <w:sz w:val="20"/>
              </w:rPr>
              <w:t>Texas</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12" w:name="xdx_900_edei--EntityAddressPostalZipCode"/>
            <w:bookmarkEnd w:id="12"/>
            <w:r>
              <w:rPr>
                <w:rFonts w:ascii="Times New Roman;Times;Serif" w:hAnsi="Times New Roman;Times;Serif"/>
                <w:sz w:val="20"/>
              </w:rPr>
              <w:t>75201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1_edei--CityAreaCode_c20260811__20"/>
      <w:bookmarkEnd w:id="13"/>
      <w:r>
        <w:rPr>
          <w:rFonts w:ascii="Times New Roman;Times;Serif" w:hAnsi="Times New Roman;Times;Serif"/>
          <w:b w:val="false"/>
          <w:i w:val="false"/>
          <w:caps w:val="false"/>
          <w:smallCaps w:val="false"/>
          <w:sz w:val="20"/>
        </w:rPr>
        <w:t xml:space="preserve">972) </w:t>
      </w:r>
      <w:bookmarkStart w:id="14" w:name="xdx_905_edei--LocalPhoneNumber_c20260811"/>
      <w:bookmarkEnd w:id="14"/>
      <w:r>
        <w:rPr>
          <w:rFonts w:ascii="Times New Roman;Times;Serif" w:hAnsi="Times New Roman;Times;Serif"/>
          <w:b w:val="false"/>
          <w:i w:val="false"/>
          <w:caps w:val="false"/>
          <w:smallCaps w:val="false"/>
          <w:sz w:val="20"/>
        </w:rPr>
        <w:t>499-4934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bookmarkStart w:id="15" w:name="xdx_906_edei--WrittenCommunications_c202"/>
            <w:bookmarkEnd w:id="15"/>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45"/>
        <w:gridCol w:w="908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55"/>
        <w:gridCol w:w="60"/>
        <w:gridCol w:w="1160"/>
        <w:gridCol w:w="60"/>
        <w:gridCol w:w="2470"/>
      </w:tblGrid>
      <w:tr>
        <w:trPr/>
        <w:tc>
          <w:tcPr>
            <w:tcW w:w="64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F_edei--Security12bTitle_c20260811"/>
            <w:bookmarkEnd w:id="19"/>
            <w:r>
              <w:rPr>
                <w:rFonts w:ascii="Times New Roman;Times;Serif" w:hAnsi="Times New Roman;Times;Serif"/>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6_edei--TradingSymbol_c20260811__2"/>
            <w:bookmarkEnd w:id="20"/>
            <w:r>
              <w:rPr>
                <w:rFonts w:ascii="Times New Roman;Times;Serif" w:hAnsi="Times New Roman;Times;Serif"/>
                <w:b/>
                <w:sz w:val="20"/>
              </w:rPr>
              <w:t>MDAI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3_edei--SecurityExchangeName_c2026"/>
            <w:bookmarkEnd w:id="21"/>
            <w:r>
              <w:rPr>
                <w:rFonts w:ascii="Times New Roman;Times;Serif" w:hAnsi="Times New Roman;Times;Serif"/>
                <w:b/>
                <w:sz w:val="20"/>
              </w:rPr>
              <w:t>Nasdaq Stock Market LLC</w:t>
            </w:r>
          </w:p>
        </w:tc>
      </w:tr>
      <w:tr>
        <w:trPr/>
        <w:tc>
          <w:tcPr>
            <w:tcW w:w="64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D_edei--Security12bTitle_c20260811"/>
            <w:bookmarkEnd w:id="22"/>
            <w:r>
              <w:rPr>
                <w:rFonts w:ascii="Times New Roman;Times;Serif" w:hAnsi="Times New Roman;Times;Serif"/>
                <w:b/>
                <w:sz w:val="20"/>
              </w:rPr>
              <w:t>Redeemable Warrants, each whole warrant exercisable for one share of Common Stock, at an exercise price of $2.75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3" w:name="xdx_909_edei--TradingSymbol_c20260811__2"/>
            <w:bookmarkEnd w:id="23"/>
            <w:r>
              <w:rPr>
                <w:rFonts w:ascii="Times New Roman;Times;Serif" w:hAnsi="Times New Roman;Times;Serif"/>
                <w:b/>
                <w:sz w:val="20"/>
              </w:rPr>
              <w:t>MDAIW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4" w:name="xdx_90D_edei--SecurityExchangeName_c2026"/>
            <w:bookmarkEnd w:id="24"/>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Spectral AI, Inc. (the “Company”) reported its financial results for the quarter ended June 30, 2026. Additionally, the Company hosted a conference call on August 11, 2026, at 5:00 pm Eastern Time with financial analysts to discuss the Company’s financial results and other business matters. This event will be available for replay on the Company’s website: https://investors.spectral-ai.com/news-events/events.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issued a press release reporting its financial results for the quarter ended June 30, 2026, as discussed above. A copy of the press release is furnished as Exhibit 99.1 to this Current Report on Form 8-K.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to this Current Report on Form 8-K, and in Exhibit 99.1 furnished herewith, shall not be deemed to be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180701ex99-1.htm">
              <w:r>
                <w:rPr>
                  <w:rStyle w:val="InternetLink"/>
                  <w:rFonts w:ascii="Times New Roman;Times;Serif" w:hAnsi="Times New Roman;Times;Serif"/>
                  <w:sz w:val="20"/>
                </w:rPr>
                <w:t>Press Release issued by Spectral AI, Inc. on August 11,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SPECTRAL AI, INC.</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Vincent S. Capone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S. Capone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180701ex99-1.htm"/>
      <w:bookmarkStart w:id="28" w:name="ksea030180701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336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Announces 2026 Second Quarter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Continues to Advance Towards First Commercial Sales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DeepView</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System for Burn Indication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Strong Cash Position of $14.0 Million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TX – August 11, 2026 – Spectral AI, Inc. (Nasdaq: MDAI) (“Spectral AI” or the “Company”)</w:t>
      </w:r>
      <w:r>
        <w:rPr>
          <w:rFonts w:ascii="Times New Roman;Times;Serif" w:hAnsi="Times New Roman;Times;Serif"/>
          <w:b w:val="false"/>
          <w:i w:val="false"/>
          <w:caps w:val="false"/>
          <w:smallCaps w:val="false"/>
          <w:sz w:val="20"/>
        </w:rPr>
        <w:t>, an artificial intelligence company focused on medical diagnostics for faster and more accurate treatment decisions in wound care, today announced financial results for the second quarter ended June 30, 2026 (“Q2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Spectral AI has entered the second half of 2026 with tremendous momentum and a clear sense of purpose,” said Vincent Capone, Chief Executive Officer of Spectral AI. “The receipt of De Novo clearance from the U.S. Food and Drug Administration (“FDA”) for our DeepView® System for burn indication has cleared us to achieve our first commercial sales by year end 2026. We have made significant strides in the first half of this year by strengthening our leadership team, advancing our relationships with government and commercial partners, and fortifying our balance sheet. As we look ahead, we are excited by the scale of the opportunity before us. We remain strongly focused on our vision of supporting clinicians by bringing immediate, objective, and data-driven wound assessments that improve patient outcomes, and on the commercial delivery of our advanced, novel artificial intelligence technology to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Select Business Highlights</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2026, received FDA clearance for the DeepView System for Burn Indication; with this classification, Spectral AI is now authorized to commence commercial distribution activities in the United States.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March 2026, awarded $31.7 million of advanced funding from the Biomedical Advanced Research and Development Authority (“BARDA”) to accelerate and support additional development and procurement for the DeepView System.</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receipt of FDA clearance for the DeepView System, drew $6.5 million under our existing credit facility with Avenue Capital Group, providing non-dilutive capital to further strengthen the Company’s balance sheet.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Expanded leadership team in advance of commercial activities, including the appointments of David McGuire as Chief Financial Officer and Darcy Bajko as Chief Commercial Officer.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Completed all remaining milestones under our Department of Defense contract for the DeepView System handheld device, contracted through the Medical Technology Enterprise Consortium (“MTEC”), including the delivery of a fully functioning prototype device.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Commenced label expansion of the DeepView System to include heads, hands and feet through an extended study based in the United Kingdom.</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Anticipated Operational and Commercial Milestones</w:t>
      </w:r>
    </w:p>
    <w:p>
      <w:pPr>
        <w:pStyle w:val="TextBody"/>
        <w:bidi w:val="0"/>
        <w:spacing w:before="0" w:after="0"/>
        <w:ind w:left="360" w:right="0" w:hanging="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Generate first-ever commercial sales of the DeepView System in the U.S. by year end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UKCA authorization label expansion to reflect the FDA approved DeepView System for sales in either the United Kingdom, Australia, or Gulf Cooperation Council countries by year end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Initiate Triage and Treatment Outcome Study in Q4 2026 to demonstrate that the DeepView System’s wound assessments improve surgical precision and accelerate treatment decisions, leading to a better overall patient care journey and reduced length of stay.</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Second Quarter (“Q2 2026”) 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comparisons for Q2 2026 and the six months ended June 30, 2026 (“YTD 2026”) are to the comparable periods ended June 30, 2025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&amp; Development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&amp; Development revenue for Q2 2026 was $3.5 million compared to $5.1 million. The decline reflects the anticipated reduction in reimbursed costs under the Company’s Project BioShield contract with BARDA (the “BARDA PBS Contract”) following FDA clearance of the DeepView System, as the remaining scope of work narrowed to specific development projects. It also reflects the cost-share provisions of the follow-on development phase of that contract, under which the Company funds a portion of the development costs it incurs. Revenue from the Company’s other U.S. government contracts also declined as the Company completed performance under its MTEC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view the triggering of the cost-share component under our contract with BARDA as an indicator of program maturity,” said David McGuire, Spectral AI’s Chief Financial Officer. “It reflects the completion of the core development work of the DeepView System and FDA clearance of the device, while maintaining alignment with BARDA on the features expected to support commercial value. We are very excited to enter this next promising phase towards commercial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YTD 2026, Research &amp; Development revenue was $7.5 million compared to $11.8 million. The decline reflects the same reduction in reimbursed costs under the BARDA PBS Contract. This was partially offset by an increase in revenue from awards and work performed under the Company’s other U.S. government contracts, primarily related to work on the Company’s handheld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Q2 2026 was 31.6%, down from 45.2%. The decline reflects the cost-share provisions of the follow-on development phase of the BARDA PBS Contract described above, under which the Company continues to incur development costs that are not fully reimbursable. A slightly lower realized margin on the Company’s fixed-fee MTEC contract also contributed to the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YTD 2026, gross margin was 41.8%, down from 46.4%. The decline primarily reflects the lower proportion of costs billed under the follow-on development phase of the BARDA PBS Contract. This was partially offset by the higher gross margin realized in the first quarter of 2026, prior to the commencement of that phase.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transition from mainly development activities to mixed development and commercial activities, we have disaggregated our reporting of G&amp;A costs to break out development, sales and marketing and administrative costs in order to provide investors with clearer and more meaningful visibility of our evolving cost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 Q2 2026 were $5.4 million, up 23.2% from $4.4 million. General and administrative expenses rose $0.5 million, primarily due to equity awards granted in the second quarter of 2026. Selling and marketing activities rose $0.3 million ahead of first commercial sales, including a third-party pricing study. Research and development activities rose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YTD 2026, operating expenses were $9.4 million, up 11.3% from $8.5 million. Non-revenue generating research and development activities rose $0.5 million. General and administrative expenses rose $0.3 million, as higher stock-based compensation was partially offset by lower consultant fees. Selling and marketing activities rose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 Other (Expense) /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in Q2 2026 was $0.3 million compared to other expense of $(5.9) million. The change was due largely to the fair value of the Company’s warrant liability, which was a benefit of $0.7 million compared to an expense of $(5.4)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YTD 2026, total other expense was $(1.1) million compared to other expense of $(2.0) million. The change primarily relates to the fair value of the Company’s warrant liability, which was an expense of $(0.3) million compared to an expense of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Q2 2026 was $(4.2) million, or $(0.13) per basic and diluted share, compared to net loss of $(8.0) million, or $(0.31) per basic and diluted share. The improvement was due primarily to the change in the fair value of the Company’s warrant liability noted above, partially offset by lower gross profit and higher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YTD 2026, net loss was $(7.6) million, or $(0.24) per basic and diluted share, compared to net loss of $(5.1) million, or $(0.21) per basic and diluted share. The increase primarily reflects lower gross profit and higher operating expenses, partially offset by lower total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non-GAAP financial measure, was $(3.5) million for Q2 2026 compared to $(1.7) million, and $(5.2) million for YTD 2026 compared to $(2.4) million. Net loss, the most directly comparable GAAP measure, is presented above. See “Non-GAAP Financial Measures” below and the reconciliation of net loss to Adjusted EBITDA in the financial tables accompanying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was $14.0 million compared to $15.4 million as of December 31, 2025. During Q2 2026, the Company drew $6.5 million under its existing credit facility with Avenue Capital Group, providing non-dilutive capital following the receipt of FDA clearance for the DeepView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reiterating revenue of approximately $18.5 million for the year ending December 31, 2026, primarily reflecting the continued development of the Company’s DeepView System through the BARDA PBS Contract. This guidance does not include any material contributions from the sale of the DeepView System for the burn indication, which is anticipated by year end 2026, or further extensions or additional awards of our contract with MTEC.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at 5:00 pm Eastern Time to discuss these results. Investors interested in participating in the live call can dial:</w:t>
      </w:r>
    </w:p>
    <w:p>
      <w:pPr>
        <w:pStyle w:val="TextBody"/>
        <w:bidi w:val="0"/>
        <w:spacing w:before="0" w:after="0"/>
        <w:ind w:left="432" w:right="0" w:hanging="259"/>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833-890-6620 – U.S.</w:t>
            </w:r>
          </w:p>
        </w:tc>
      </w:tr>
    </w:tbl>
    <w:p>
      <w:pPr>
        <w:pStyle w:val="TextBody"/>
        <w:bidi w:val="0"/>
        <w:spacing w:before="0" w:after="0"/>
        <w:ind w:left="431" w:right="0" w:hanging="259"/>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412-564-3789 – International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simultaneous webcast of the call may be accessed online from the Events section of the Investor Relations page of the Company’s website at https://investors.spectral-ai.com/news-events/events.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Spectral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 Inc. is a Dallas-based predictive AI company focused on medical diagnostics for faster and more accurate treatment decisions in wound care, with initial applications involving patients with burns. The Company is working to revolutionize the management of wound care by “Seeing the Unknown®” with its DeepView System. The DeepView System is a predictive diagnostic device that offers physicians an objective and immediate assessment of a wound’s healing potential prior to treatment or other medical intervention. With algorithm-driven results and a goal to exceed the current standard of care, the DeepView System provides fast and accurate treatment insights to improve patient outcomes and reduce healthcare costs. Spectral AI has been named to TIME’s list of World’s Top HealthTech companies 2025. For more information about the DeepView System, visit www.spectral-ai.com.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Adjusted EBITDA, a financial measure that is not calculated in accordance with generally accepted accounting principles in the United States (“GAAP”). The Company defines Adjusted EBITDA as net loss before income taxes, depreciation of property and equipment and net interest expense, further adjusted to exclude stock-based compensation, financing related costs, changes in the fair value of warrant liabilities and notes payable, foreign exchange transaction gains and losses, and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Adjusted EBITDA to evaluate the Company’s operating performance, identify trends, prepare budgets and financial projections, and allocate resources. The Company believes Adjusted EBITDA is useful to investors because it excludes items that management does not consider indicative of core operating performance — principally non-cash remeasurements of the fair value of the Company’s warrant liabilities, which can fluctuate significantly from period to period based on the Company’s share price and are outside management’s control — thereby facilitating comparisons between periods and with other companies that report similar measures. The Company also excludes stock-based compensation because it is a non-cash expense whose amount in any period reflects the timing and size of equity awards and valuation inputs such as the Company’s share price at the date of grant, rather than the Company’s underlying operating activities, and can therefore vary significantly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should not be considered in isolation, or as a substitute for or superior to net loss or any other measure prepared in accordance with GAAP. Among other limitations, Adjusted EBITDA excludes net interest expense, which represents a recurring cash cost of the Company’s borrowings; excludes income taxes; excludes stock-based compensation, which is a recurring non-cash expense the Company expects to continue to incur and which is an important component of employee compensation; and does not reflect capital expenditures, working capital requirements or other cash requirements. Adjusted EBITDA is a performance measure and should not be construed as a measure of liquidity or of the cash flows generated by the Company’s operating, investing or financing activities. Because non-GAAP measures are not standardized, the Company’s Adjusted EBITDA may not be comparable to similarly titled measures reported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net loss, the most directly comparable GAAP measure, to Adjusted EBITDA is included in the financial tables accompanying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carefully consider the foregoing factors, and the other risks and uncertainties described in the “Risk Factors” sections of the Company’s filings with the US Securities and Exchange Commission, including the Company’s Annual Report on Form 10-K for the year ended December 31, 2025 and the other documents filed by the Company. These filings identify and address other important risks and uncertainties that could cause actual events and results to differ materially from those contained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Equity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Devin Sullivan, Managing Director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Devin.Sullivan@theequitygroup.com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Conor Rodriguez, Associate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Conor.Rodriguez@theequitygroup.com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7"/>
        <w:gridCol w:w="60"/>
        <w:gridCol w:w="166"/>
        <w:gridCol w:w="902"/>
        <w:gridCol w:w="95"/>
        <w:gridCol w:w="60"/>
        <w:gridCol w:w="186"/>
        <w:gridCol w:w="1007"/>
        <w:gridCol w:w="112"/>
      </w:tblGrid>
      <w:tr>
        <w:trPr/>
        <w:tc>
          <w:tcPr>
            <w:tcW w:w="7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61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6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617"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6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13,980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15,394</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1,267</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838</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821</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1,322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1,133</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b/>
              </w:rPr>
            </w:pPr>
            <w:r>
              <w:rPr>
                <w:b/>
              </w:rPr>
              <w:t>17,792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b/>
              </w:rPr>
            </w:pPr>
            <w:r>
              <w:rPr>
                <w:b/>
              </w:rPr>
              <w:t>19,453</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258</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1,407</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287</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21,405</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02" w:type="dxa"/>
            <w:tcBorders/>
            <w:shd w:fill="FFFFFF" w:val="clear"/>
            <w:vAlign w:val="center"/>
          </w:tcPr>
          <w:p>
            <w:pPr>
              <w:pStyle w:val="TableContents"/>
              <w:bidi w:val="0"/>
              <w:spacing w:before="0" w:after="283"/>
              <w:jc w:val="right"/>
              <w:rPr/>
            </w:pPr>
            <w:r>
              <w:rPr/>
              <w:t>1,725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007" w:type="dxa"/>
            <w:tcBorders/>
            <w:shd w:fill="FFFFFF" w:val="clear"/>
            <w:vAlign w:val="center"/>
          </w:tcPr>
          <w:p>
            <w:pPr>
              <w:pStyle w:val="TableContents"/>
              <w:bidi w:val="0"/>
              <w:spacing w:before="0" w:after="283"/>
              <w:jc w:val="right"/>
              <w:rPr/>
            </w:pPr>
            <w:r>
              <w:rPr/>
              <w:t>3,010</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2,341</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154</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Lease liabilities, short-term</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734</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3,859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2,854</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11,780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11,533</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b/>
              </w:rPr>
            </w:pPr>
            <w:r>
              <w:rPr>
                <w:b/>
              </w:rPr>
              <w:t>19,869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b/>
              </w:rPr>
            </w:pPr>
            <w:r>
              <w:rPr>
                <w:b/>
              </w:rPr>
              <w:t>20,626</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Notes payable, long-term</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5,538</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Lease liabilities, long-term</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pPr>
            <w:r>
              <w:rPr/>
              <w:t>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968</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b/>
              </w:rPr>
            </w:pPr>
            <w:r>
              <w:rPr>
                <w:b/>
              </w:rPr>
              <w:t>31,490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b/>
              </w:rPr>
            </w:pPr>
            <w:r>
              <w:rPr>
                <w:b/>
              </w:rPr>
              <w:t>27,132</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617" w:type="dxa"/>
            <w:tcBorders/>
            <w:shd w:fill="CCEEFF" w:val="clear"/>
            <w:vAlign w:val="center"/>
          </w:tcPr>
          <w:p>
            <w:pPr>
              <w:pStyle w:val="TableContents"/>
              <w:bidi w:val="0"/>
              <w:spacing w:before="0" w:after="283"/>
              <w:jc w:val="left"/>
              <w:rPr/>
            </w:pPr>
            <w:r>
              <w:rPr/>
              <w:t>Preferred stock ($0.0001 par value); 1,000,000 shares authorized; no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617" w:type="dxa"/>
            <w:tcBorders/>
            <w:shd w:fill="FFFFFF" w:val="clear"/>
            <w:vAlign w:val="center"/>
          </w:tcPr>
          <w:p>
            <w:pPr>
              <w:pStyle w:val="TableContents"/>
              <w:bidi w:val="0"/>
              <w:spacing w:before="0" w:after="283"/>
              <w:jc w:val="left"/>
              <w:rPr/>
            </w:pPr>
            <w:r>
              <w:rPr/>
              <w:t>Common stock ($0.0001 par value); 80,000,000 shares authorized; 32,184,928 and 30,688,895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3</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51,302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50,030</w:t>
            </w:r>
          </w:p>
        </w:tc>
        <w:tc>
          <w:tcPr>
            <w:tcW w:w="112" w:type="dxa"/>
            <w:tcBorders/>
            <w:shd w:fill="CCEEFF" w:val="clear"/>
            <w:vAlign w:val="center"/>
          </w:tcPr>
          <w:p>
            <w:pPr>
              <w:pStyle w:val="TableContents"/>
              <w:bidi w:val="0"/>
              <w:spacing w:before="0" w:after="283"/>
              <w:jc w:val="left"/>
              <w:rPr/>
            </w:pPr>
            <w:r>
              <w:rPr/>
              <w:t> </w:t>
            </w:r>
          </w:p>
        </w:tc>
      </w:tr>
      <w:tr>
        <w:trPr/>
        <w:tc>
          <w:tcPr>
            <w:tcW w:w="7617"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40</w:t>
            </w:r>
          </w:p>
        </w:tc>
        <w:tc>
          <w:tcPr>
            <w:tcW w:w="112" w:type="dxa"/>
            <w:tcBorders/>
            <w:shd w:fill="FFFFFF" w:val="clear"/>
            <w:vAlign w:val="center"/>
          </w:tcPr>
          <w:p>
            <w:pPr>
              <w:pStyle w:val="TableContents"/>
              <w:bidi w:val="0"/>
              <w:spacing w:before="0" w:after="283"/>
              <w:jc w:val="left"/>
              <w:rPr/>
            </w:pPr>
            <w:r>
              <w:rPr/>
              <w:t> </w:t>
            </w:r>
          </w:p>
        </w:tc>
      </w:tr>
      <w:tr>
        <w:trPr/>
        <w:tc>
          <w:tcPr>
            <w:tcW w:w="761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(63,388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(55,800</w:t>
            </w:r>
          </w:p>
        </w:tc>
        <w:tc>
          <w:tcPr>
            <w:tcW w:w="112" w:type="dxa"/>
            <w:tcBorders/>
            <w:shd w:fill="CCEEFF" w:val="clear"/>
            <w:vAlign w:val="center"/>
          </w:tcPr>
          <w:p>
            <w:pPr>
              <w:pStyle w:val="TableContents"/>
              <w:bidi w:val="0"/>
              <w:spacing w:before="0" w:after="283"/>
              <w:jc w:val="left"/>
              <w:rPr/>
            </w:pPr>
            <w:r>
              <w:rPr/>
              <w:t>)</w:t>
            </w:r>
          </w:p>
        </w:tc>
      </w:tr>
      <w:tr>
        <w:trPr/>
        <w:tc>
          <w:tcPr>
            <w:tcW w:w="7617" w:type="dxa"/>
            <w:tcBorders/>
            <w:shd w:fill="FFFFFF" w:val="clear"/>
            <w:vAlign w:val="center"/>
          </w:tcPr>
          <w:p>
            <w:pPr>
              <w:pStyle w:val="TableContents"/>
              <w:bidi w:val="0"/>
              <w:spacing w:before="0" w:after="283"/>
              <w:jc w:val="left"/>
              <w:rPr>
                <w:b/>
              </w:rPr>
            </w:pPr>
            <w:r>
              <w:rPr>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(12,054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(5,727</w:t>
            </w:r>
          </w:p>
        </w:tc>
        <w:tc>
          <w:tcPr>
            <w:tcW w:w="112" w:type="dxa"/>
            <w:tcBorders/>
            <w:shd w:fill="FFFFFF" w:val="clear"/>
            <w:vAlign w:val="center"/>
          </w:tcPr>
          <w:p>
            <w:pPr>
              <w:pStyle w:val="TableContents"/>
              <w:bidi w:val="0"/>
              <w:spacing w:before="0" w:after="283"/>
              <w:jc w:val="left"/>
              <w:rPr>
                <w:b/>
              </w:rPr>
            </w:pPr>
            <w:r>
              <w:rPr>
                <w:b/>
              </w:rPr>
              <w:t>)</w:t>
            </w:r>
          </w:p>
        </w:tc>
      </w:tr>
      <w:tr>
        <w:trPr/>
        <w:tc>
          <w:tcPr>
            <w:tcW w:w="7617" w:type="dxa"/>
            <w:tcBorders/>
            <w:shd w:fill="CCEEFF" w:val="clear"/>
            <w:vAlign w:val="center"/>
          </w:tcPr>
          <w:p>
            <w:pPr>
              <w:pStyle w:val="TableContents"/>
              <w:bidi w:val="0"/>
              <w:spacing w:before="0" w:after="283"/>
              <w:jc w:val="left"/>
              <w:rPr>
                <w:b/>
              </w:rPr>
            </w:pPr>
            <w:r>
              <w:rPr>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21,405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Research and development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11,772</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(6,314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5,458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5,061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8,477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(4,324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(2,123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(6,295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(3,019</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Financing related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(585</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Foreign exchange transaction loss,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b/>
              </w:rPr>
            </w:pPr>
            <w:r>
              <w:rPr>
                <w:b/>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(2,000</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(4,006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(7,987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(7,428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(5,019</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(4,176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(7,968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(5,071</w:t>
            </w:r>
          </w:p>
        </w:tc>
        <w:tc>
          <w:tcPr>
            <w:tcW w:w="110" w:type="dxa"/>
            <w:tcBorders/>
            <w:shd w:fill="FFFFFF" w:val="clear"/>
            <w:vAlign w:val="center"/>
          </w:tcPr>
          <w:p>
            <w:pPr>
              <w:pStyle w:val="TableContents"/>
              <w:bidi w:val="0"/>
              <w:spacing w:before="0" w:after="283"/>
              <w:jc w:val="left"/>
              <w:rPr>
                <w:b/>
              </w:rPr>
            </w:pPr>
            <w:r>
              <w:rPr>
                <w:b/>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Net loss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(0.21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32,080,874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25,421,560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31,922,459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24,409,550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32,080,874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25,421,560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31,922,459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24,409,550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(7,599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(5,022</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Beginning on April 1, 2026, the Company changed the presentation of certain costs on its condensed consolidated statements of operations. This voluntary change in classification of certain research and development and selling and marketing costs resulted in a decrease in general and administrative expenses and offsetting increases in research and development and selling and marketing costs. This change in classification has been applied retrospectively to all periods presented and had no impact to revenue, cost of revenue, loss from operations, income (loss) before income taxes, income tax provision (benefit), net income (loss), earnings (loss) per common share, or other components of equity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082" w:type="dxa"/>
        <w:jc w:val="left"/>
        <w:tblInd w:w="0" w:type="dxa"/>
        <w:tblLayout w:type="fixed"/>
        <w:tblCellMar>
          <w:top w:w="0" w:type="dxa"/>
          <w:left w:w="0" w:type="dxa"/>
          <w:bottom w:w="0" w:type="dxa"/>
          <w:right w:w="0" w:type="dxa"/>
        </w:tblCellMar>
      </w:tblPr>
      <w:tblGrid>
        <w:gridCol w:w="8000"/>
        <w:gridCol w:w="60"/>
        <w:gridCol w:w="148"/>
        <w:gridCol w:w="726"/>
        <w:gridCol w:w="101"/>
        <w:gridCol w:w="63"/>
        <w:gridCol w:w="148"/>
        <w:gridCol w:w="726"/>
        <w:gridCol w:w="110"/>
      </w:tblGrid>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(7,588</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(5,071</w:t>
            </w:r>
          </w:p>
        </w:tc>
        <w:tc>
          <w:tcPr>
            <w:tcW w:w="110" w:type="dxa"/>
            <w:tcBorders/>
            <w:shd w:fill="CCEEFF" w:val="clear"/>
            <w:vAlign w:val="center"/>
          </w:tcPr>
          <w:p>
            <w:pPr>
              <w:pStyle w:val="TableContents"/>
              <w:bidi w:val="0"/>
              <w:spacing w:before="0" w:after="283"/>
              <w:jc w:val="left"/>
              <w:rPr/>
            </w:pPr>
            <w:r>
              <w:rPr/>
              <w:t>)</w:t>
            </w:r>
          </w:p>
        </w:tc>
      </w:tr>
      <w:tr>
        <w:trPr/>
        <w:tc>
          <w:tcPr>
            <w:tcW w:w="8000" w:type="dxa"/>
            <w:tcBorders/>
            <w:shd w:fill="FFFFFF" w:val="clear"/>
            <w:vAlign w:val="center"/>
          </w:tcPr>
          <w:p>
            <w:pPr>
              <w:pStyle w:val="TableContents"/>
              <w:bidi w:val="0"/>
              <w:spacing w:before="0" w:after="283"/>
              <w:jc w:val="left"/>
              <w:rPr>
                <w:b/>
              </w:rPr>
            </w:pPr>
            <w:r>
              <w:rPr>
                <w:b/>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339</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990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611</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298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280</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291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1,196</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Issuance of shares for borrowing related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86</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1,038</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23</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327</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355</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(239</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132</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(1,285</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(2,049</w:t>
            </w:r>
          </w:p>
        </w:tc>
        <w:tc>
          <w:tcPr>
            <w:tcW w:w="110" w:type="dxa"/>
            <w:tcBorders/>
            <w:shd w:fill="CCEEFF" w:val="clear"/>
            <w:vAlign w:val="center"/>
          </w:tcPr>
          <w:p>
            <w:pPr>
              <w:pStyle w:val="TableContents"/>
              <w:bidi w:val="0"/>
              <w:spacing w:before="0" w:after="283"/>
              <w:jc w:val="left"/>
              <w:rPr/>
            </w:pPr>
            <w:r>
              <w:rPr/>
              <w:t>)</w:t>
            </w:r>
          </w:p>
        </w:tc>
      </w:tr>
      <w:tr>
        <w:trPr/>
        <w:tc>
          <w:tcPr>
            <w:tcW w:w="800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(634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(133</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(536</w:t>
            </w:r>
          </w:p>
        </w:tc>
        <w:tc>
          <w:tcPr>
            <w:tcW w:w="110" w:type="dxa"/>
            <w:tcBorders/>
            <w:shd w:fill="CCEEFF" w:val="clear"/>
            <w:vAlign w:val="center"/>
          </w:tcPr>
          <w:p>
            <w:pPr>
              <w:pStyle w:val="TableContents"/>
              <w:bidi w:val="0"/>
              <w:spacing w:before="0" w:after="283"/>
              <w:jc w:val="left"/>
              <w:rPr/>
            </w:pPr>
            <w:r>
              <w:rPr/>
              <w:t>)</w:t>
            </w:r>
          </w:p>
        </w:tc>
      </w:tr>
      <w:tr>
        <w:trPr/>
        <w:tc>
          <w:tcPr>
            <w:tcW w:w="800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(276</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b/>
              </w:rPr>
            </w:pPr>
            <w:r>
              <w:rPr>
                <w:b/>
              </w:rPr>
              <w:t>(7,825</w:t>
            </w:r>
          </w:p>
        </w:tc>
        <w:tc>
          <w:tcPr>
            <w:tcW w:w="101"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b/>
              </w:rPr>
            </w:pPr>
            <w:r>
              <w:rPr>
                <w:b/>
              </w:rPr>
              <w:t>(4,867</w:t>
            </w:r>
          </w:p>
        </w:tc>
        <w:tc>
          <w:tcPr>
            <w:tcW w:w="110" w:type="dxa"/>
            <w:tcBorders/>
            <w:shd w:fill="CCEEFF" w:val="clear"/>
            <w:vAlign w:val="center"/>
          </w:tcPr>
          <w:p>
            <w:pPr>
              <w:pStyle w:val="TableContents"/>
              <w:bidi w:val="0"/>
              <w:spacing w:before="0" w:after="283"/>
              <w:jc w:val="left"/>
              <w:rPr>
                <w:b/>
              </w:rPr>
            </w:pPr>
            <w:r>
              <w:rPr>
                <w:b/>
              </w:rPr>
              <w:t>)</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5</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3,080</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Proceeds from notes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6,500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8,260</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Payments for notes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(317</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(1,313</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Proceeds from warrant exercises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54</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Stock option exercises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158</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b/>
              </w:rPr>
            </w:pPr>
            <w:r>
              <w:rPr>
                <w:b/>
              </w:rPr>
              <w:t>6,422</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b/>
              </w:rPr>
            </w:pPr>
            <w:r>
              <w:rPr>
                <w:b/>
              </w:rPr>
              <w:t>10,185</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b/>
              </w:rPr>
            </w:pPr>
            <w:r>
              <w:rPr>
                <w:b/>
              </w:rPr>
              <w:t>(1,414</w:t>
            </w:r>
          </w:p>
        </w:tc>
        <w:tc>
          <w:tcPr>
            <w:tcW w:w="101"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b/>
              </w:rPr>
            </w:pPr>
            <w:r>
              <w:rPr>
                <w:b/>
              </w:rPr>
              <w:t>5,367</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15,394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5,157</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Cash, end of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13,980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10,524</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726" w:type="dxa"/>
            <w:tcBorders/>
            <w:shd w:fill="FFFFFF" w:val="clear"/>
            <w:vAlign w:val="center"/>
          </w:tcPr>
          <w:p>
            <w:pPr>
              <w:pStyle w:val="TableContents"/>
              <w:bidi w:val="0"/>
              <w:spacing w:before="0" w:after="283"/>
              <w:jc w:val="right"/>
              <w:rPr/>
            </w:pPr>
            <w:r>
              <w:rPr/>
              <w:t>587</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726"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Cash paid for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44</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Noncash investing and financing activities disclosure: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Tenant improvement allowance payments made by the lessor directly to a third party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726"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726" w:type="dxa"/>
            <w:tcBorders/>
            <w:shd w:fill="FFFFFF" w:val="clear"/>
            <w:vAlign w:val="center"/>
          </w:tcPr>
          <w:p>
            <w:pPr>
              <w:pStyle w:val="TableContents"/>
              <w:bidi w:val="0"/>
              <w:spacing w:before="0" w:after="283"/>
              <w:jc w:val="right"/>
              <w:rPr/>
            </w:pPr>
            <w:r>
              <w:rPr/>
              <w:t>(327</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Issuance of common stock to settle notes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1,192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 (Non-GAAP)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209" w:type="dxa"/>
        <w:jc w:val="left"/>
        <w:tblInd w:w="0" w:type="dxa"/>
        <w:tblLayout w:type="fixed"/>
        <w:tblCellMar>
          <w:top w:w="0" w:type="dxa"/>
          <w:left w:w="0" w:type="dxa"/>
          <w:bottom w:w="0" w:type="dxa"/>
          <w:right w:w="0" w:type="dxa"/>
        </w:tblCellMar>
      </w:tblPr>
      <w:tblGrid>
        <w:gridCol w:w="3755"/>
        <w:gridCol w:w="60"/>
        <w:gridCol w:w="181"/>
        <w:gridCol w:w="823"/>
        <w:gridCol w:w="123"/>
        <w:gridCol w:w="77"/>
        <w:gridCol w:w="181"/>
        <w:gridCol w:w="823"/>
        <w:gridCol w:w="95"/>
        <w:gridCol w:w="60"/>
        <w:gridCol w:w="157"/>
        <w:gridCol w:w="717"/>
        <w:gridCol w:w="106"/>
        <w:gridCol w:w="67"/>
        <w:gridCol w:w="157"/>
        <w:gridCol w:w="717"/>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center"/>
              <w:rPr>
                <w:b/>
              </w:rPr>
            </w:pPr>
            <w:r>
              <w:rPr>
                <w:b/>
              </w:rPr>
              <w:t>June 30,</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(4,176</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(7,968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(7,588</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(5,071</w:t>
            </w:r>
          </w:p>
        </w:tc>
        <w:tc>
          <w:tcPr>
            <w:tcW w:w="11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b/>
              </w:rPr>
            </w:pPr>
            <w:r>
              <w:rPr>
                <w:b/>
              </w:rPr>
              <w:t>Adjust: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30</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60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170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160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Net interest expense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378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815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center"/>
          </w:tcPr>
          <w:p>
            <w:pPr>
              <w:pStyle w:val="TableContents"/>
              <w:bidi w:val="0"/>
              <w:spacing w:before="0" w:after="283"/>
              <w:jc w:val="right"/>
              <w:rPr/>
            </w:pPr>
            <w:r>
              <w:rPr/>
              <w:t>417</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b/>
              </w:rPr>
            </w:pPr>
            <w:r>
              <w:rPr>
                <w:b/>
              </w:rPr>
              <w:t>(3,598</w:t>
            </w:r>
          </w:p>
        </w:tc>
        <w:tc>
          <w:tcPr>
            <w:tcW w:w="123"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b/>
              </w:rPr>
            </w:pPr>
            <w:r>
              <w:rPr>
                <w:b/>
              </w:rPr>
              <w:t>(7,580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b/>
              </w:rPr>
            </w:pPr>
            <w:r>
              <w:rPr>
                <w:b/>
              </w:rPr>
              <w:t>(6,553</w:t>
            </w:r>
          </w:p>
        </w:tc>
        <w:tc>
          <w:tcPr>
            <w:tcW w:w="106"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b/>
              </w:rPr>
            </w:pPr>
            <w:r>
              <w:rPr>
                <w:b/>
              </w:rPr>
              <w:t>(4,590</w:t>
            </w:r>
          </w:p>
        </w:tc>
        <w:tc>
          <w:tcPr>
            <w:tcW w:w="110" w:type="dxa"/>
            <w:tcBorders/>
            <w:shd w:fill="FFFFFF" w:val="clear"/>
            <w:vAlign w:val="center"/>
          </w:tcPr>
          <w:p>
            <w:pPr>
              <w:pStyle w:val="TableContents"/>
              <w:bidi w:val="0"/>
              <w:spacing w:before="0" w:after="283"/>
              <w:jc w:val="left"/>
              <w:rPr>
                <w:b/>
              </w:rPr>
            </w:pPr>
            <w:r>
              <w:rPr>
                <w:b/>
              </w:rPr>
              <w:t>)</w:t>
            </w:r>
          </w:p>
        </w:tc>
      </w:tr>
      <w:tr>
        <w:trPr/>
        <w:tc>
          <w:tcPr>
            <w:tcW w:w="3755" w:type="dxa"/>
            <w:tcBorders/>
            <w:shd w:fill="CCEEFF" w:val="clear"/>
            <w:vAlign w:val="center"/>
          </w:tcPr>
          <w:p>
            <w:pPr>
              <w:pStyle w:val="TableContents"/>
              <w:bidi w:val="0"/>
              <w:spacing w:before="0" w:after="283"/>
              <w:jc w:val="left"/>
              <w:rPr>
                <w:b/>
              </w:rPr>
            </w:pPr>
            <w:r>
              <w:rPr>
                <w:b/>
              </w:rPr>
              <w:t>Additional adjustments: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807</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990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611</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Financing related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585</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(711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5,449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291</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1,196</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(220</w:t>
            </w:r>
          </w:p>
        </w:tc>
        <w:tc>
          <w:tcPr>
            <w:tcW w:w="11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pPr>
            <w:r>
              <w:rPr/>
              <w:t>Foreign exchange transaction loss, net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(3,487</w:t>
            </w:r>
          </w:p>
        </w:tc>
        <w:tc>
          <w:tcPr>
            <w:tcW w:w="123"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(5,245</w:t>
            </w:r>
          </w:p>
        </w:tc>
        <w:tc>
          <w:tcPr>
            <w:tcW w:w="106" w:type="dxa"/>
            <w:tcBorders/>
            <w:shd w:fill="CCEEFF" w:val="clear"/>
            <w:vAlign w:val="center"/>
          </w:tcPr>
          <w:p>
            <w:pPr>
              <w:pStyle w:val="TableContents"/>
              <w:bidi w:val="0"/>
              <w:spacing w:before="0" w:after="283"/>
              <w:jc w:val="lef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(2,396</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3898</Words>
  <Characters>21465</Characters>
  <CharactersWithSpaces>25866</CharactersWithSpaces>
  <Paragraphs>1892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