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20" w:right="1120" w:hanging="2786"/>
        <w:spacing w:after="0" w:line="490" w:lineRule="auto"/>
        <w:tabs>
          <w:tab w:leader="none" w:pos="1336"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5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60" w:hanging="209"/>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580" w:type="dxa"/>
            <w:vAlign w:val="bottom"/>
            <w:gridSpan w:val="3"/>
          </w:tcPr>
          <w:p>
            <w:pPr>
              <w:ind w:left="35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32"/>
        </w:trPr>
        <w:tc>
          <w:tcPr>
            <w:tcW w:w="5520" w:type="dxa"/>
            <w:vAlign w:val="bottom"/>
          </w:tcPr>
          <w:p>
            <w:pPr>
              <w:spacing w:after="0"/>
              <w:rPr>
                <w:sz w:val="24"/>
                <w:szCs w:val="24"/>
                <w:color w:val="auto"/>
              </w:rPr>
            </w:pPr>
          </w:p>
        </w:tc>
        <w:tc>
          <w:tcPr>
            <w:tcW w:w="10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4"/>
              </w:rPr>
              <w:t>To</w:t>
            </w:r>
          </w:p>
        </w:tc>
        <w:tc>
          <w:tcPr>
            <w:tcW w:w="4660" w:type="dxa"/>
            <w:vAlign w:val="bottom"/>
          </w:tcPr>
          <w:p>
            <w:pPr>
              <w:spacing w:after="0"/>
              <w:rPr>
                <w:sz w:val="24"/>
                <w:szCs w:val="24"/>
                <w:color w:val="auto"/>
              </w:rPr>
            </w:pPr>
          </w:p>
        </w:tc>
      </w:tr>
      <w:tr>
        <w:trPr>
          <w:trHeight w:val="432"/>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No. 001-40058</w:t>
            </w:r>
          </w:p>
        </w:tc>
      </w:tr>
      <w:tr>
        <w:trPr>
          <w:trHeight w:val="410"/>
        </w:trPr>
        <w:tc>
          <w:tcPr>
            <w:tcW w:w="6580" w:type="dxa"/>
            <w:vAlign w:val="bottom"/>
            <w:gridSpan w:val="3"/>
          </w:tcPr>
          <w:p>
            <w:pPr>
              <w:jc w:val="center"/>
              <w:ind w:left="4570"/>
              <w:spacing w:after="0"/>
              <w:rPr>
                <w:sz w:val="20"/>
                <w:szCs w:val="20"/>
                <w:color w:val="auto"/>
              </w:rPr>
            </w:pPr>
            <w:r>
              <w:rPr>
                <w:rFonts w:ascii="Times New Roman" w:cs="Times New Roman" w:eastAsia="Times New Roman" w:hAnsi="Times New Roman"/>
                <w:sz w:val="18"/>
                <w:szCs w:val="18"/>
                <w:b w:val="1"/>
                <w:bCs w:val="1"/>
                <w:color w:val="auto"/>
              </w:rPr>
              <w:t>SPECTRAL AI, INC.</w:t>
            </w:r>
          </w:p>
        </w:tc>
        <w:tc>
          <w:tcPr>
            <w:tcW w:w="4660" w:type="dxa"/>
            <w:vAlign w:val="bottom"/>
          </w:tcPr>
          <w:p>
            <w:pPr>
              <w:spacing w:after="0"/>
              <w:rPr>
                <w:sz w:val="24"/>
                <w:szCs w:val="24"/>
                <w:color w:val="auto"/>
              </w:rPr>
            </w:pPr>
          </w:p>
        </w:tc>
      </w:tr>
      <w:tr>
        <w:trPr>
          <w:trHeight w:val="238"/>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439"/>
        </w:trPr>
        <w:tc>
          <w:tcPr>
            <w:tcW w:w="65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85-3987148</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660" w:type="dxa"/>
            <w:vAlign w:val="bottom"/>
            <w:tcBorders>
              <w:top w:val="single" w:sz="8" w:color="auto"/>
            </w:tcBorders>
          </w:tcPr>
          <w:p>
            <w:pPr>
              <w:jc w:val="center"/>
              <w:ind w:right="79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5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6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65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2515 McKinney Avenue, Suite 1000 Dallas, Texas</w:t>
            </w:r>
          </w:p>
        </w:tc>
        <w:tc>
          <w:tcPr>
            <w:tcW w:w="46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660" w:type="dxa"/>
            <w:vAlign w:val="bottom"/>
            <w:tcBorders>
              <w:top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6580" w:type="dxa"/>
            <w:vAlign w:val="bottom"/>
            <w:gridSpan w:val="3"/>
          </w:tcPr>
          <w:p>
            <w:pPr>
              <w:jc w:val="center"/>
              <w:ind w:left="4570"/>
              <w:spacing w:after="0"/>
              <w:rPr>
                <w:sz w:val="20"/>
                <w:szCs w:val="20"/>
                <w:color w:val="auto"/>
              </w:rPr>
            </w:pPr>
            <w:r>
              <w:rPr>
                <w:rFonts w:ascii="Times New Roman" w:cs="Times New Roman" w:eastAsia="Times New Roman" w:hAnsi="Times New Roman"/>
                <w:sz w:val="18"/>
                <w:szCs w:val="18"/>
                <w:b w:val="1"/>
                <w:bCs w:val="1"/>
                <w:color w:val="auto"/>
                <w:w w:val="99"/>
              </w:rPr>
              <w:t>(972) 499-4934</w:t>
            </w:r>
          </w:p>
        </w:tc>
        <w:tc>
          <w:tcPr>
            <w:tcW w:w="466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MDAI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84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rPr>
              <w:t>Redeemable warrants, each whole warrant</w:t>
            </w:r>
          </w:p>
        </w:tc>
        <w:tc>
          <w:tcPr>
            <w:tcW w:w="380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MDAIW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exercisable for one share of Common Stock at an</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exercise price of $2.75</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60" w:type="dxa"/>
        <w:tblCellMar>
          <w:top w:w="0" w:type="dxa"/>
          <w:left w:w="0" w:type="dxa"/>
          <w:bottom w:w="0" w:type="dxa"/>
          <w:right w:w="0" w:type="dxa"/>
        </w:tblCellMar>
      </w:tblPr>
      <w:tr>
        <w:trPr>
          <w:trHeight w:val="22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Accelerated filer</w:t>
            </w:r>
          </w:p>
        </w:tc>
        <w:tc>
          <w:tcPr>
            <w:tcW w:w="20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69"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was approximately $72.0 million based on the closing sales price on the Nasdaq Stock Market LLC on June 30, 2025, the last business day of the registrant’s most recently completed second fiscal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23, 2026, there were 31,823,895 shares of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0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SPECTRAL AI, INC.</w:t>
            </w:r>
          </w:p>
        </w:tc>
        <w:tc>
          <w:tcPr>
            <w:tcW w:w="9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340" w:type="dxa"/>
            <w:vAlign w:val="bottom"/>
            <w:gridSpan w:val="12"/>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FORM 10-K FOR THE YEAR ENDED DECEMBER 31, 2025</w:t>
            </w:r>
          </w:p>
        </w:tc>
        <w:tc>
          <w:tcPr>
            <w:tcW w:w="900" w:type="dxa"/>
            <w:vAlign w:val="bottom"/>
          </w:tcPr>
          <w:p>
            <w:pPr>
              <w:spacing w:after="0"/>
              <w:rPr>
                <w:sz w:val="18"/>
                <w:szCs w:val="18"/>
                <w:color w:val="auto"/>
              </w:rPr>
            </w:pPr>
          </w:p>
        </w:tc>
      </w:tr>
      <w:tr>
        <w:trPr>
          <w:trHeight w:val="238"/>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0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r>
      <w:tr>
        <w:trPr>
          <w:trHeight w:val="439"/>
        </w:trPr>
        <w:tc>
          <w:tcPr>
            <w:tcW w:w="4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92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Part I.</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Business</w:t>
            </w:r>
          </w:p>
        </w:tc>
        <w:tc>
          <w:tcPr>
            <w:tcW w:w="8780" w:type="dxa"/>
            <w:vAlign w:val="bottom"/>
            <w:tcBorders>
              <w:bottom w:val="single" w:sz="8" w:color="CCEEFF"/>
            </w:tcBorders>
            <w:gridSpan w:val="2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5"/>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208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7340" w:type="dxa"/>
            <w:vAlign w:val="bottom"/>
            <w:tcBorders>
              <w:top w:val="single" w:sz="8" w:color="CCEEFF"/>
            </w:tcBorders>
            <w:gridSpan w:val="1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6"/>
        </w:trPr>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6"/>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36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5"/>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980" w:type="dxa"/>
            <w:vAlign w:val="bottom"/>
            <w:tcBorders>
              <w:top w:val="single" w:sz="8" w:color="CCEEFF"/>
            </w:tcBorders>
            <w:gridSpan w:val="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6"/>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8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620" w:type="dxa"/>
            <w:vAlign w:val="bottom"/>
            <w:tcBorders>
              <w:top w:val="single" w:sz="8" w:color="CCEEFF"/>
            </w:tcBorders>
            <w:gridSpan w:val="1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16"/>
        </w:trPr>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175"/>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408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534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175"/>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14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16"/>
        </w:trPr>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652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175"/>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158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7"/>
              </w:rPr>
              <w:t>Form 10-K Summary.</w:t>
            </w:r>
          </w:p>
        </w:tc>
        <w:tc>
          <w:tcPr>
            <w:tcW w:w="7840" w:type="dxa"/>
            <w:vAlign w:val="bottom"/>
            <w:gridSpan w:val="15"/>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RISK FACTOR SUMMARY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statements that are forward-looking and as such are not historical facts. This includes, without limitation, statements under “Item 7. Management’s Discussion and Analysis of Financial Condition and Results of Operations” regarding our financial position, business strategy and the plans and objectives of management for future operations. These statements constitute projections, forecasts and forward-looking statements within the meaning of the Private Securities Litigation Reform Act of 1995.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8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may not be able to achieve significant revenues or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devoting substantially all of our efforts towards research and development of our DeepView® System.</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government funding, which if lost or reduced, could have a material adverse effect on our research and development activities and our ability to commercialize our DeepView technology. Our largest contract is with the Biomedical Advanced Research and Development Authority (“BARDA”) and is the largest single source of revenue for us. Our BARDA contract is not guaranteed to be fully awarded or extended.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process is expensive, time-consuming, and uncertain and we may be unable to obtain clearance, approval, De Novo classification, or certification for our DeepView technology.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completing clinical trials, which could prevent or significantly delay our targeted product launch timeframe and impair our viability and business plan.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foreign regulatory agencies caused by funding shortages, political climate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our DeepView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anti-kickback, fraud and abuse, false claims, transparency, and other healthcare laws and regulations.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fail to comply with the regulatory quality system regulations or any applicable equivalent regulations, our proposed operations could be interrupted, and our operating results would suffer.</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 to comply with data protection, privacy and security laws, regulations, standards and other requirements could negatively affect our business, financial condition or results of operations.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regulatory framework for AI technology evolves, our business, financial condition and results of operation may be adversely affected.</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either on our own or in collaboration with third parties, we may not be successful in commercializing our DeepView System, if approved.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satisfactory pricing and margins for our DeepView technology.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senior management, directors and key personnel, and our business could be harmed if we are unable to attract and retain personnel necessary for our success.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including machine learning, in our analytics platforms may result in reputational harm or liability.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algorithms depends on our significant repository of proprietary burn image and data.</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or its interpretation could diminish the value of patents in general, thereby impairing our ability to protect our existing and future products.</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5" w:name="page6"/>
    <w:bookmarkEnd w:id="5"/>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and other intellectual property may be subject to priority, ownership or inventorship disputes, interferences, and similar proceedings and we may not be able to enforce our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does not maintain a certain price or market capitalization level or otherwise, Nasdaq may delist our securities from trading on its exchange, which could limit investors’ ability to make transactions in our securities and subject us to additional trading restrictions.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and Warrants may be volatile.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rules, or a failure to comply with any laws, regulations or rules, may adversely affect our business, investments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existing stockholders purchased, or may purchase, securities in the Company at a price below the current trading price of such securities and may experience a positive rate of return based on the current trading price. Future investors in the Company may not experience a similar rate of return.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become exercisable for Common Stock, which would increase the number of shares eligible for resale in the public market and result in dilution to our stockholders.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and uncertainties discussed in “Item 1A. Risk Factors,” elsewhere in this Annual Report on Form 10-K and in our other filings with the Securities and Exchange Commission (the “SEC”).</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Annual Report on Form 10-K (this “Annual Report”) to “we,” “us,” “our” or the “Company” are to Spectral AI, Inc., a Delaware corporation. References to our “management” or our “management team” refer to our officers and directors.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 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AI company focused on predictive medical diagnostics. Our DeepView System uses proprietary AI algorithms to distinguish between fully damaged, partially damaged and healthy human tissue characters invisible to the naked eye, at the initial time point of wound presentation. The DeepView System delivers a binary prediction on the wound’s capacity to heal or not-heal by a specified time point in the future. Our DeepView System’s output is specifically engineered to assist the health care professional in making a more accurate, timely and informed decision regarding the treatment of the patient’s wounds. Our focus is on our burn indication.</w:t>
      </w:r>
    </w:p>
    <w:p>
      <w:pPr>
        <w:spacing w:after="0" w:line="187"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We were notified that our DeepView System, comprised of the multispectral imaging (“MSI”) component integrated with the predictive AI-Burn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software component, received United Kingdom Conformity Assessed (UKCA) marking for use in the United Kingdom for burn indications on February 22, 2024. The UKCA marking registration was fully completed on March 7, 2024. In 2026, we hope that our full DeepView System may achieve Class II medical device designation with the United States Food and Drug Administration (FDA) via the De Novo application the Company submitted in June of 2025. Subject to our receipt of additional necessary market authorization, our business will have two revenue streams, a SaaS (software as a service) model component predicated on utilizing the regulatory method, a SaMD (software as a medical device) regulatory framework, and the imaging device component. The SaaS component will feature a software licensing fee that includes maintenance, image hosting, and access to algorithmic updates. The proprietary imaging device acquires the images for the AI algorithms and is a universal platform to house multiple clinical indications including burn wound healing analysis and other tissue indication assessments. Pricing for these components will be evaluated and strategically set per country and site-of-service for heightened customer adoption.</w:t>
      </w:r>
    </w:p>
    <w:p>
      <w:pPr>
        <w:spacing w:after="0" w:line="19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MSI technology, which comprises one part of the DeepView System, consists of patented proprietary multi-spectral optics and sensors, capturing injured tissue images ranging from near UV lights, through the human visible wavelengths, into the near infrared range (NIR). The broad wavelength ranges go beyond what the human eyes can see and capture what medical professionals cannot observe with their naked eyes. This wide range of wavelength images contain wound tissue physiology and captures the viability of various biomarkers within the skin and from the injured tissue spectral signatures. The imaging technology extracts appropriate clinical data and processes the image data to provide the injured tissue spectral signatures to the AI model and algorithms. The AI algorithm classifies various severities of the injuries as (i) full damaged (non-healing), or (ii) healthy tissue (healing) and displays a comparison of the original image next to an image with a color overlay of the non-healing portions of the wound. The image acquisition takes 0.2 seconds, and all image processing and AI model classification takes approximately 20 to 25 seconds. Our DeepView System’s proprietary optics can extract millions of pixels of data or AI model features from each group of raw images. This information is then used to advance the algorithm optimization, which is trained and tested against a proprietary and clinically validated database of over 340 billion pixels of image data. The DeepView-AI Burns</w:t>
      </w:r>
      <w:r>
        <w:rPr>
          <w:rFonts w:ascii="Times New Roman" w:cs="Times New Roman" w:eastAsia="Times New Roman" w:hAnsi="Times New Roman"/>
          <w:sz w:val="29"/>
          <w:szCs w:val="29"/>
          <w:color w:val="auto"/>
          <w:vertAlign w:val="superscript"/>
        </w:rPr>
        <w:t>®</w:t>
      </w:r>
    </w:p>
    <w:p>
      <w:pPr>
        <w:spacing w:after="0" w:line="6"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software is used with the DeepView SnapShot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imaging device, and it is intended to be used as an adjunctive tool to aid health care providers in the assessment of burn wound healing potential by differentiating non-healing from healing tissue within an image.</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at Figure 1 is an example of the DeepView System technological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154305</wp:posOffset>
            </wp:positionV>
            <wp:extent cx="4123055" cy="237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2305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Figure 1 — DeepView Imaging technology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our knowledge, there are no comparable digital wound healing predictive medical diagnostic products that provide clinicians with an objective and immediate assessment of a wound’s future healing potential that benefit from the application of AI. Currently, healthcare professionals rely on their experience and subjective assessments to determine if wounds, such as burn injuries, will heal (a) under routine care after a period of time, typically several weeks, or (b) following the application of advanced wound care products and procedures including surgical interventions. Our DeepView System allows health care professionals to make a “Day One” assessment of a wound’s healing potential over time.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received substantial financial support from the U.S. government for our DeepView System’s application for burn wounds, including from agencies such as BARDA, which is part of the Department of Health and Human Services (“HHS”) Office of the Assistant Secretary for Preparedness and Response (“ASPR”) in the United States, established to aid in securing the United States from chemical, biological, radiological, and nuclear threats, as well as from pandemic influenza and emerging infectious diseases. We have also received funding from the National Science Foundation (“NSF”), National Institute of Health (“NIH”) and the Defense Health Agency (“DHA”) an agency within the Department of Defense (“DoD”). Since 2013, we have been awarded approximately $282.5 million in funding from government contracts, substantially all of which is from BARDA, which accounts for $272.9 million. This has allowed us to develop our technology and further our clinical trials. On September 27, 2023, the Company executed a new contract with BARDA, providing the Company with additional funding of up to $150.0 million, including an initial award of approximately $54.9 million to support the clinical validation and application for FDA De Novo status of our DeepView AI-Burn software. The contract also includes options, similar to our prior BARDA contracts, with an additional total value of approximately $95.1 million which can be exercised for additional product development, procurement and the expanded deployment of DeepView Systems at emergency rooms, trauma and burn centers. These deployments will also enable the Company to conduct health economic and outcome research to support the broader clinical adoption of the DeepView System. This grant funding is non-dilutive to our stockholders, and we believe it validates the important nature of our mission and technology.</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Subject to our receipt of the necessary regulatory market authorizations, we intend to initially sell the DeepView System throughout the United States and the UK for its burn indication. Given our receipt of the UKCA authorization for our burn indication we anticipate initial sales in UK to begin in 2026. The sales channel for our burn indication will be supported by existing and future governmental contracts, primarily from agencies such as BARDA and the DHA. In the United States, there are approximately 140 burn centers, 700 trauma centers and 5,400 federal and community hospitals with Emergency Rooms where burn patients are most likely to visit upon injuries. The DeepView System provides a quick clinical diagnostic tool to the attending health care professional. It can be used to quickly assess the healing potential for burn wounds so decisions regarding whether patients need routine care or should be transferred to trauma centers or burn centers for advanced care and accurate surgical planning can be made in a much more timely manner. In the burn centers, the DeepView System provides an advanced assessment of the non-healing areas of a burn. Therefore, we plan to target our sales efforts to these facilities through highly-trained technical sales support staff that we plan to hire given the nature of DeepView as a truly disruptive AI driven predictive assistance tool. For the DeepView System’s burn application and following receipt of any future contract awards, we plan to partner with the U.S. governmental agency sponsors to implement the distribution of our DeepView System throughout the United States into key regions to support the United States’ mass casualty countermeasure directives, with the goal of making our country better prepared for mass casualty events and saving scarce healthcare resources.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noted above, subject to our receipt of the necessary regulatory market authorizations, our business is expected to have two revenue streams, a SaaS model component predicated on utilizing the regulatory method, SaMD regulatory framework, and an imaging device component. The SaaS component will feature a software licensing fee that includes maintenance, image hosting, and access to algorithmic updates. The capital sale component will be competitively priced for acceptance into burn centers, independent practices, hospitals and clinics.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we would expect to leverage results from the U.S. studies for a simultaneous conformity assessment procedure in the EU to obtain the CE marking of conformity (“CE Mark”), and we would expect to commence post-market studies in the UK. Subject to our receipt of the necessary regulatory market authorization, we would expect to initiate commercialization in the United States during 2026, in accordance with the projected timeline for our BARDA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Burn Indication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the validation study for our De Novo submission to the FDA, the Company has completed the enrollment of 164 patients, including 49 pediatric subjects. In the validation study, the DeepView System has (a) shown superiority in sensitivity and, (b) with respect to specificity, met the non-inferiority margin when compared to clinician assessment. These findings were corroborated by the AI model’s cross-validation analysis in identifying non-healing burn regions. These results represent a significant improvement above the diagnostic accuracy of burn physicians when assessing the same population. In addition to our validation study, we have conducted three large clinical studies with multiple sites across the United States, enrolling more than 400 patients, including both adult and pediatric burn patients.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proprietary and clinically validated database for burns is comprised of over 340 billion pixels of image data. This database presents both a significant barrier to entry to would-be competitors in wound care healing assessment, and a potential additional commercial opportunity for us to develop further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DeepView Programs in Development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Funding from the U.S. government has also allowed us to develop additional “Horizon” indication uses of our DeepView System, including DeepView Snapshot M, DeepView AI 3-D wound measurement technology, and other indications. We believe that our DeepView System’s use in emergency rooms, trauma and burn centers and other would care facilities should be expanded to provide greater utility of the DeepView System in such settings.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DeepView SnapShot® M</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our DeepView System, our primary additional technology is the DeepView SnapShot M, a fully handheld, portable, and wireless diagnostic tool based on the DeepView System’s AI platform. The DeepView SnapShot M provides a potential enhanced and expanded use for the U.S. government and emergency care, first responders and potentially home health care professionals. On June 23, 2021, we were awarded a two-year, $1.1 million, Sequential Phase II STTR contract by the DHA within the U.S. Department of Defense. This funding enables us to research and develop the DeepView SnapShot M product primarily for military and combat settings. In April 2023, we were awarded a $4.0 million grant from the Medical Technology Enterprise Consortium (“MTEC”), a 501I(3) biomedical technology consortium working in partnership with the Department of Defense, to develop our DeepView SnapShot M device in a Phase III feasibility and commercialization study. In August 2024, the MTEC award was increased to $4.9 million and was extended to run through December 2025 with funding dependent on various milestones. In September 2024, we received an additional $0.9 million from MTEC for further development of the handheld device. In December 2025, the MTEC contract was amended to provide a no-cost extension to run through June 2026. In March 2024, we received an additional $0.5 million award from the Defense Health Agency to further this development. These grants, along with prior awards from DHA, bring our funding total for our DeepView SnapShot M to over $7.2 million. The funding will be used to support military battlefield burn diagnostic evaluations using DeepView SnapShot 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3-D Wound Measurement Technology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developing three-dimensional (3D) software-based wound measurement technology for integration into our DeepView System. This technology is designed to deliver rapid, accurate wound assessment by generating a three-dimensional representation of burn tissue, enabling high spatial precision in burn area measurement without the use of externally placed reference markers — an advantage over certain existing technologies that rely on such markers and may be limited in their ability to accurately assess burn area.</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3D wound measurement technology calculates the percentage of total body surface area affected by burns (%TBSA) by automatically segmenting the burn area, applying established body surface area estimation formulas, and producing a quantitative measurement output. In addition to improving %TBSA accuracy, the technology is designed to enhance our multispectral imaging (MSI)-based capability to differentiate non-healing areas within large burns, enabling more targeted and precise treatment decisions. Development of this technology is supported in part by financial funding from the Biomedical Advanced Research and Development Authority (BARDA).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Focus and Milestones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current focus is to fulfill our contractual obligations and meet milestones under our BARDA PBS contract (described in further detail below); and to pursue other indications for the commercialization of the DeepView System in the UK, United States and EU. Our near-term goals related to the BARDA PBS contract are to deliver on the current phase of the contract (Phase 1a), and to complete the remaining phases of the BARDA PBS contract. Completion of these contractual phases support our long-term goal of entering a federal procurement contract with BARDA.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submitted a De Novo application to the FDA for market authorization of the burn application in June, 2025. In 2023, we received our ISO 13485:2016 certification for Medical Devices. Our certification audits were completed in the first quarter of 2024 and the third quarter of 2025, without any exceptions. In March 2024, Spectral completed its UKCA Mark registration for the full DeepView System for our burn indication.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DeepView in Practice</w:t>
      </w:r>
    </w:p>
    <w:p>
      <w:pPr>
        <w:spacing w:after="0" w:line="229" w:lineRule="exact"/>
        <w:rPr>
          <w:sz w:val="20"/>
          <w:szCs w:val="20"/>
          <w:color w:val="auto"/>
        </w:rPr>
      </w:pPr>
    </w:p>
    <w:p>
      <w:pPr>
        <w:jc w:val="both"/>
        <w:ind w:firstLine="324"/>
        <w:spacing w:after="0" w:line="227" w:lineRule="auto"/>
        <w:rPr>
          <w:sz w:val="20"/>
          <w:szCs w:val="20"/>
          <w:color w:val="auto"/>
        </w:rPr>
      </w:pPr>
      <w:r>
        <w:rPr>
          <w:rFonts w:ascii="Times New Roman" w:cs="Times New Roman" w:eastAsia="Times New Roman" w:hAnsi="Times New Roman"/>
          <w:sz w:val="18"/>
          <w:szCs w:val="18"/>
          <w:color w:val="auto"/>
        </w:rPr>
        <w:t>DeepView is a predictive analytics platform that combines AI algorithms and MSI imaging for an assessment of wound healing potential. It is non-invasive, non-radiation, non-laser and does not require the use of injectable dye. This integration can be characterized into four distinct components: DeepView imaging, data extraction, AI model building and AI wound healing potential assessment. The DeepView AI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Burn software is used with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DeepView SnapShot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imaging device, and it is intended to be used as an adjunctive tool to aid health care providers in the assessment of burn wound healing potential by differentiating non-healing from healing burned tissue within an image.</w:t>
      </w:r>
    </w:p>
    <w:p>
      <w:pPr>
        <w:spacing w:after="0" w:line="198"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DeepView technology consists of patented proprietary multi-spectral optics and sensors that can classify wound tissue physiology and capture the viability of various biomarkers within the skin.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imaging technology extracts appropriate clinical data, processes the image and displays a comparison of the original image next to an image with a color overlay of the non-healing portions of the wound. The image acquisition takes 0.2 seconds and the output takes approximately 20 to 25 seconds.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DeepView’s proprietary optics can extract millions of pixels of data or AI model features from each raw image. This information is then used to build and continually improve the AI model, which is trained and tested against a proprietary and clinically validated database of over 340 billion pixels of image data.</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 algorithm then seeks to produce an objective, accurate, and immediate binary wound healing assessment. This assessment would be graphically represented to the clinician through a colored overlay of the original image that annotates the portion of the wound that is predicted to be non-healing over a specified period of time – 21 days (See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123190</wp:posOffset>
            </wp:positionV>
            <wp:extent cx="2202815" cy="1268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0281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Figure 2 — Illustration of DeepView’s binary decision assist output where the colored region marks the predicted non-healing portion of the wound.</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DeepView System is designed to assist clinicians in making accurate, timely, and informed decisions regarding the treatment of the patient’s wound. DeepView provides physicians with an immediate assessment of a burn wound’s healing potential with a binary outcome determination. The DeepView System has (a) shown superiority in sensitivity and, (b) with respect to specificity, met the non-inferiority margin when compared to clinician assessment. These findings were corroborated by the AI model’s cross-validation analysis in identifying non-healing burn regions. These results represent a significant improvement above the diagnostic accuracy of burn physicians when assessing the same population. In addition to our validation study, we have conducted three large clinical studies with multiple sites across the United States, enrolling more than 400 patients, including both adult and pediatric burn patients.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See the table below for an analysis of the current DeepView System’s benefits to patient care:</w:t>
            </w:r>
          </w:p>
        </w:tc>
        <w:tc>
          <w:tcPr>
            <w:tcW w:w="1300" w:type="dxa"/>
            <w:vAlign w:val="bottom"/>
          </w:tcPr>
          <w:p>
            <w:pPr>
              <w:spacing w:after="0"/>
              <w:rPr>
                <w:sz w:val="20"/>
                <w:szCs w:val="20"/>
                <w:color w:val="auto"/>
              </w:rPr>
            </w:pPr>
          </w:p>
        </w:tc>
      </w:tr>
      <w:tr>
        <w:trPr>
          <w:trHeight w:val="453"/>
        </w:trPr>
        <w:tc>
          <w:tcPr>
            <w:tcW w:w="994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Burn</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Time to Decision</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 Days</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DeepView Time to Decision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Day 1</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DeepView Estimated Cost savings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~$24,000 per stay</w:t>
            </w:r>
          </w:p>
        </w:tc>
      </w:tr>
      <w:tr>
        <w:trPr>
          <w:trHeight w:val="432"/>
        </w:trPr>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Strengths</w:t>
            </w:r>
          </w:p>
        </w:tc>
        <w:tc>
          <w:tcPr>
            <w:tcW w:w="1300" w:type="dxa"/>
            <w:vAlign w:val="bottom"/>
          </w:tcPr>
          <w:p>
            <w:pPr>
              <w:spacing w:after="0"/>
              <w:rPr>
                <w:sz w:val="24"/>
                <w:szCs w:val="24"/>
                <w:color w:val="auto"/>
              </w:rPr>
            </w:pPr>
          </w:p>
        </w:tc>
      </w:tr>
      <w:tr>
        <w:trPr>
          <w:trHeight w:val="432"/>
        </w:trPr>
        <w:tc>
          <w:tcPr>
            <w:tcW w:w="9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believe the following key strengths will help us to maintain and grow our business going forward:</w:t>
            </w:r>
          </w:p>
        </w:tc>
        <w:tc>
          <w:tcPr>
            <w:tcW w:w="13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Leading Technology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developed proprietary AI algorithms and imaging technology to assist clinicians to make more accurate and efficient treatment decisions in managing patient’s wounds. This technology is the result of 13 years of research and development, thousands of hours of user feedback, and most importantly, the continual commitment to ensuring that the output from DeepView answers a clinical question that is to meaningful physicians. We own and control the entirety of our data pipeline. We only rely images and data that the DeepView System collects in a controlled clinical environment and do not rely on stock images or databases for our algorithms. All optical technology has been developed in-house and is specifically engineered to collect this imaging data. In September 2025, we were named to TIME’s World’s Top HealthTech Companies 2025 list. A current image of our cart-based DeepView System appears below in 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131445</wp:posOffset>
            </wp:positionV>
            <wp:extent cx="882650" cy="1843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265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Figure 3 — DeepView System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Unmet Clinical Need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biggest unmet need for clinicians treating burn wounds is the lack of a diagnostic tool that provides an objective wound healing determination on “Day One.” The current standard of care treatment pathway for these wounds can be generally characterized by a subjective initial assessment from the physician followed by multiple weeks of clinical observation to assess whether or not the wound responded to treatment. Burn wounds are primarily staged by their penetration depth into the skin and involvement of tissues below the skin in severe cases. Burn wounds are diagnosed by expert clinical opinion without the aid of objective diagnostic tools that provide a wound healing prediction. Furthermore, the current methods of diagnosis rely on a “wait and see” approach that result in prolonged hospital stays and costly delays in the delivery of definitive treatment. Our goal is to eliminate these costly delays between initial screening and the delivery of a definitive treatment using AI algorithms applied to our proprietary multispectral wound images.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Market Opportunity</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Geography </w:t>
      </w:r>
      <w:r>
        <w:rPr>
          <w:rFonts w:ascii="Times New Roman" w:cs="Times New Roman" w:eastAsia="Times New Roman" w:hAnsi="Times New Roman"/>
          <w:sz w:val="18"/>
          <w:szCs w:val="18"/>
          <w:color w:val="auto"/>
        </w:rPr>
        <w:t>— DeepView has the potential to service a large total addressable market. We estimate that there are over 57,000 sites of clinical care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technology could be placed in the United States and over 20,000 sites across the UK and EU. For all geographies, these sites include both acute inpatient hospitals and outpatient sites of care, which include physician offices. As we expand from the United States into the UK and EU, we will consider follow-on markets for commercial expansion, including the Middle East, among others.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Pipeline Applications </w:t>
      </w:r>
      <w:r>
        <w:rPr>
          <w:rFonts w:ascii="Times New Roman" w:cs="Times New Roman" w:eastAsia="Times New Roman" w:hAnsi="Times New Roman"/>
          <w:sz w:val="18"/>
          <w:szCs w:val="18"/>
          <w:color w:val="auto"/>
        </w:rPr>
        <w:t>— Though we are currently focused on the burn application for DeepView, there are other pipeline applications that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considering for future commercialization. As noted above, we have already received U.S. government funding for the development of our DeepView SnapShot M fully handheld device for use in combat, military and home health care uses. In connection with our BARDA contract, we are working on expanding the usage of the DeepView System to incorporate a wound and burn measurement diagnostic tool for clinicians. We have also explored the technology’s potential for the assessment of in-patient soft tissue indications, wound bed preparedness, critical limb ischemia, level of lower limb amputation selection, post-operative perfusion assessment for peripheral interventions, and additional military applications. For all future pipeline applications, we believe that the foundational technology would remain constant, in that we will leverage our data analytics algorithms to improve predictive analyses. With any new application, we would need to conduct one or more clinical studies to collect enough patient data to appropriately support algorithm development for each new application. These new algorithms could easily be uploaded to existing devices in the future. From a U.S. regulatory perspective, we believe that these follow-on applications would all follow a 510(k) clearance process although, in some cases, we may need to follow the De Novo classification or premarket approval pathway if we are not able to identify a predicate, or if use of the device for a new indication is classified as a Class III device.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and future revenue base from long term U.S. Government Contracts — BARDA</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27, 2023, the Company executed a new contract with BARDA, providing the Company with additional funding of up to $150.0 million, including an initial award of approximately $54.9 million to support the clinical validation and application to the FDA for De Novo status of our DeepView System. This includes the distribution of up to 30 DeepView Systems in various emergency rooms and burn centers to support the clinical validation study. The contract also includes options, similar to our prior BARDA contracts, with an additional total value of approximately $95.1 million which can be exercised for additional product development, procurement and the expanded deployment of DeepView Systems at emergency rooms, trauma and burn centers. These deployments will enable the Company to conduct health economic and outcome research to support the broader clinical adoption of the DeepView System. This grant funding is non-dilutive to our stockholders, and we believe it validates the important nature of our mission and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Wound Data Repository from Artificial Neural Network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Over 340 billion pixels of proprietary image data have been acquired and utilized for the deep learning algorithms training. This presents a significant barrier to entry to would-be competitors in wound care healing assessments. The data collection to clinical output, the flow, quality and control of the data pipeline is managed entirely by us. Our DeepView System uses deep learning on its wound data repository to recognize patterns and correlations of injured tissue spectral signatures to produce reliable and reasonable assessment for clinicians to make accurate and faster treatment decisions. We believe that our strategic partnerships with various leading medical institutions and healthcare providers in the United States and Europe will enable us to access high quality image data and build the world’s leading wound biopsy tissue database. Our AI algorithms are designed and trained to the clinical “ground truth” that has been verified and vetted by various U.S. government agencies and leading clinicians in their respective fields. They are currently being reviewed, but have not yet been cleared by FDA.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developed strategic partnerships with multiple clinical and academic partners. In the United States, we are currently engaged with leading research hospitals that are enrolling subjects for our Burn AI training study and are engaged with external consultants to continue to develop our commercialization strategy. In the EU and UK, we have partnered with key opinion leaders to provide us with greater knowledge in the wound care sector. In July 2024, we entered into a memorandum of understanding with PolyNovo, Ltd. to assist in the expansion of our DeepView System throughout Australia by utilizing the Australian Special Access Scheme. As of December 31, 2025, the Company was accepted into the Special Access Scheme with and has delivered devices to three hospitals in Melbourne, Perth and Sydney. Our partnerships with these institutions provide us with the opportunity to collaborate with leading wound care providers to develop effective early stage wound assessment technology. We utilize these strategic partnerships to support the ongoing clinical validation studies we are using to develop our algorithmic model. Each of our clinical study/trials include certain protocol requirements to ensure a uniform testing process for our technology.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Proven Experienced Management Team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and senior management team have significant experience in the technology and healthcare sectors, with a track record of successful entrepreneurship, operational acumen, strategic relationships and the ability to understand and navigate the complexities of healthcare. Our directors also bring significant expertise from previous public company experience along with financial, governance and technical oversight.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Respected Advisory Board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established an Advisory Board composed of industry experts and opinion leaders that will raise our profile. Its members provide us with external, industry-specific perspectives and technical support.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our knowledge, no other predictive wound-healing diagnostic imaging technology is available to clinicians who treat wounds. DeepView’s competitive advantage is that it is the only AI-enabled wound imaging technology that translates raw physiological data/images into an output that is directly correlated to predictive wound healing.</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Several companies have developed wound imaging systems for wounds; however, these systems incorporate technology such as spatial frequency domain imaging, thermal imaging, photographic documentation, hyperspectral imaging, and near-infrared imaging that provide physiologic data to the physician. Ultimately, this physiologic data appears only to provide an indirect linkage to wound healing and does not display a binary result of “healing vs. non-healing.” Furthermore, the majority of systems in the wound care space are merely documentation tools that record measurements of the wound for health record purposes and still rely upon subjective clinician opinion for treatment decisions. The advent of a novel technology such as the DeepView System not only has the potential to disrupt the therapeutic pathway within the wound care market, but also to create a new diagnostic market for wound care that did not exist previously for clinics and physicians, subject to successful development of the device and FDA marketing authorization. As noted above, although our previous DeepView Systems received 510(k) clearance, and we have received FDA Breakthrough Device Designation clearance for our DeepView System, there can be no assurance that we will be able to obtain market authorization in the US, UK or EU, especially as the Company seeks a De Novo clearance with the FDA.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and Revenue Strategy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intend to pursue the complete development of our DeepView System and, if commercialization authorization is obtained from the FDA, to commercialize it on our own, or potentially with a partner, in the United States and other regions including the UK and Australia. We intend to continue to expand our sales and marketing teams and to hire appropriate additional staffing to build the necessary infrastructure and capabilities over time for the United States, and abroad. Our sales efforts will begin in the regions where our devices are currently being used and in concert with the terms of our existing BARDA contract. We expect to continue to expand our sales and marketing teams as we expand our commercialization efforts in the near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our receipt of the necessary regulatory marketing authorization, we intend to market our DeepView System using internal and third-party resources to inpatient and outpatient sites of care throughout the United States. As noted above, subject to our receipt of the necessary regulatory marketing authorization, our business is expected to have two revenue streams, a SaaS (software as a service) model component predicated on utilizing the regulatory method, SaMD (software as a medical device), and an imaging device component. The SaaS component will feature a software licensing fee that includes maintenance, image hosting, and access to algorithm updates. The capital sale component will be competitively priced for acceptance into independent practices and clinics.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Given our receipt of the UKCA mark for our burn indication, commercial sales are expected to commence in 2026 for the burn indication in the UK. In the United States, the Company will continue to perform under its new BARDA contract with respect to the burn indication and will receive significant governmental funding prior to the expected receipt of FDA clearance of the DeepView System in the first half of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w:t>
      </w:r>
    </w:p>
    <w:p>
      <w:pPr>
        <w:spacing w:after="0" w:line="22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We expect to utilize our post-market clinical evidence and health economic impact analysis to submit to NHS for reimbursement for its Burn indication in the United Kingdom. Upon more market penetration, we will apply for NICE certification. In the United States, we expect the DeepView System will be used in both inpatient and outpatient sites of service. The process of reimbursement varies greatly between the two. The DeepView burn indication will be</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used both in EDs and Burn Centers. As clinical evidence is developed and utilization increases over the next several years, we plan to apply for CPT</w:t>
      </w:r>
      <w:r>
        <w:rPr>
          <w:rFonts w:ascii="Times New Roman" w:cs="Times New Roman" w:eastAsia="Times New Roman" w:hAnsi="Times New Roman"/>
          <w:sz w:val="29"/>
          <w:szCs w:val="29"/>
          <w:color w:val="auto"/>
          <w:vertAlign w:val="superscript"/>
        </w:rPr>
        <w:t>Ò</w:t>
      </w:r>
      <w:r>
        <w:rPr>
          <w:rFonts w:ascii="Times New Roman" w:cs="Times New Roman" w:eastAsia="Times New Roman" w:hAnsi="Times New Roman"/>
          <w:sz w:val="18"/>
          <w:szCs w:val="18"/>
          <w:color w:val="auto"/>
        </w:rPr>
        <w:t xml:space="preserve"> codes.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view our DeepView technology as disruptive by nature and there will be those who will be slow to adopt it. This emphasizes the importance of having the right strategic partnerships, institutions, and physician key opinion leaders as early adopters. We plan to engage in relationships that can act as key opinion leaders to share their experience on why they adopted the DeepView technology. The adoption will be supported by a team of field clinical educators and digital marketing campaigns.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currently outsource all our manufacturing to a contract manufacturer. Cobalt Product Solutions (“Cobalt”), located in Plano, Texas, is involved with manufacturing the current generation DeepView System and we anticipate that they will continue to do so for the foreseeable future.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Cobalt, we partner with several other highly specialized contract manufacturers in the areas of optics, technology design, and electronics. We employ experienced regulatory and quality control personnel to ensure that our manufacturing processes and quality management systems comply with FDA and EU regulations and standards. As we expand into the European market, we will most likely consider manufacturing devices in the EU in preparation for commercialization. We do not have any plans to develop our own manufacturing facility currently.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by seeking patents to cover our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rely on trade secrets to protect aspects of our business that are not amenable to, or that we do not consider appropriate for, patent protection.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technology is protected with issued and/or allowed patents across nine families of active patents: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Burn/Wound Classification on MSI and photoplethysmography (“PPG”);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classification on MSI and PPG;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Amputation site analysis on MSI, ML and healthcare matrix;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Diabetic foot ulcer (“DFU”) healing potential prediction and wound assessment on MSI, ML and healthcare matrix;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High-precision, multi-aperture, MSI snapshot imaging;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Wound assessment based on MSI;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Burn/histology assessment based on MSI and ML;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High-precision, single-aperture MSI snapshot imaging;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Topological characterization and assessment of tissues using MSI and ML</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13 issued and allowed U.S. patents with 5 U.S. patent applications pending. We have 21 issued and allowed international patents with 23 foreign and international patent applications pending.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support the development of our brand and product offerings through trademark protection at the United States Patent and Trademark Office. As of December 31, 2025, we maintain a portfolio of 47 trademarks and 11 trademark applications pending relating to our DeepView System product offerings. Our trademarks and pending trademark applications are spread over nine jurisdictions mostly in the UK the EU and China. It is our intention to maintain these registrations indefinitely and to expand the number of jurisdictions in which we have registered trademarks as deemed necessary to protect our freedom to use the marks and/or block competitors in additional markets. We will continue to look to protect our intellectual property in the United States, UK and the EU as those are the first commercial markets for our products and rely on third party experts to assist in doing this.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Dallas, Texas, where we occupy approximately 11,000 square feet of space under a lease agreement. In April 2024, the Company executed an extension of its existing lease agreement for our corporate headquarters which expires on February 29, 2028.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 and Employees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employ a growing and highly skilled employee base, including our sales force, and promote a culture of innovation to continuously iterate and enhance our products, systems and commercial footprint. Our human capital objectives include, as applicable, identifying, recruiting, retaining, incentivizing and integrating our existing and additional employees.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continued to expand our workforce in 2024 as we continue to build a focused and highly-skilled team. At December 31, 2025 had 65 full-time employees in the United States and UK. In 2026, we anticipate new hires will be made in all areas, in particular in operations, sales, marketing, and government contracts. This will further enable us to meet our commercialization, marketing, technology, IP, clinical and regulatory goals in 2026 and beyond.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designed and implemented our cash and stock compensation programs to attract, motivate, and retain our employees. We regularly review our compensation structure to ensure that we remain competitive, reward top performance, and ensure internal equity, while maintaining proper fiscal governance. Our compensation packages are designed based on market benchmarks. We offer robust benefits package including health (medical, dental and vision) insurance, paid time off, paid parental leave, a retirement plan and life and disability coverage.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u w:val="single" w:color="auto"/>
          <w:color w:val="auto"/>
        </w:rPr>
        <w:t>www.spectral-ai.com</w:t>
      </w:r>
      <w:r>
        <w:rPr>
          <w:rFonts w:ascii="Times New Roman" w:cs="Times New Roman" w:eastAsia="Times New Roman" w:hAnsi="Times New Roman"/>
          <w:sz w:val="18"/>
          <w:szCs w:val="18"/>
          <w:color w:val="auto"/>
        </w:rPr>
        <w:t xml:space="preserve">. Our website and the information contained therein or linked thereto are not part of this Annual Report. We make available free of charge through our internet website our annual reports on Form 10-K, quarterly reports on Form 10-Q, current reports on Form 8-K, proxy statements, registration statements and amendments to those reports filed or furnished pursuant to the Exchange Act as soon as reasonably practicable after we electronically file such material with, or furnish them to the SEC. The SEC maintains a website that contains reports, proxy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the financial statements of the Company and notes to the financial statements included 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may not be able to achieve significant revenues or profitability.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incurred substantial net losses since our inception. For the year ended December 31, 2025 and the year ended December 31, 2024, on a consolidated basis, we incurred a net loss of $7.5 million and $15.1 million, respectively, and on a consolidated basis our cash balance at December 31, 2025 was $15.4 million. We had an accumulated deficit of approximately $55.8 million as of December 31, 2025. Our losses have resulted primarily from costs incurred in connection with our design, manufacturing and development activities, research and development activities, building our commercial infrastructure, legal, and general and administrative expenses associated with our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2023, the Company executed a new contract with BARDA, providing the Company with additional funding of up to $150.0 million, including an initial award of approximately $54.9 million to support the clinical validation and FDA clearance of our DeepView System. The Company will utilize its existing cash balance and the initial award from BARDA for its near-term liquidity and operating needs. The Company believes that it has sufficient cash and revenue from its BARDA contract to support its operations until it is able to obtain equity or debt investments on terms acceptable to the Company to meet its expected operating cash-flow needs for its burn and other indication research and development.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do not know whether or when we will become profitable. Our ability to generate revenue and achieve profitability will depend upon our ability, alone or with others, to complete the development of our DeepView System, including receipt of the necessary regulatory clearances, approvals, or classifications and thereafter to successfully commercialize our DeepView System. We may be unable to achieve these goals. We may also encounter unforeseen expenses, difficulties, complications, delays and other known and unknown factors and risks frequently experienced by medical device companies in rapidly evolving fields. In addition, the Company’s ability to develop its DeepView System for multiple indications requires research and development costs that may exceed the Company’s current cash balance. The Company may need to seek additional equity or debt investments to meet its projected operating costs for the timely development of the DeepView System. To the extent additional capital is necessary, there are no assurances that we will be able to raise additional capital on favorable terms or at all, and therefore we may not be able to execute our business plan. In addition, as a U.S. public company, we incur significant legal, accounting and other expenses. Accordingly, we expect to continue to incur significant operating losses for the foreseeable future and we cannot assure you that we will achieve profitability in the future or that, if we do become profitable, we will sustain profitability. Our failure to achieve and sustain profitability in the future will make it more difficult to finance the capital requirements needed to operate our business and accomplish our strategic objectives, which would have a material adverse effect on our business, financial condition and results of operations, and cause the market price of our common stock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devoting a significant portion of our efforts towards research and development of our DeepView System.</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prospects, results of operations and financial condition depend upon our ability, alone or with others, to complete the development of our DeepView System, including receipt of the necessary regulatory clearances, approvals, or classifications and thereafter to successfully commercialize our DeepView System. In addition, though we are currently focused on the burn application for DeepView, there are other pipeline applications that we are considering for future commercialization. However, we may be unable to achieve these goals. Approval or clearance from the FDA and comparable regulatory bodies may never be obtained. We also may encounter unforeseen expenses, difficulties, complications, delays and other known and unknown factors and risks frequently experienced by medical device companies in rapidly evolving fields. Our failure to receive the necessary approvals and clearances and to successfully commercialize our DeepView System would have a material adverse effect on our business, prospects,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our business plan and pipeline depend on, and, as further described below, funding under many of our existing contracts depend on, and future contracts may also depend on, our ability to meet certain milestones or achieve certain timelines with our applications and indications. Our ability to achieve these depends on numerous factors, including the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may not be within our control. Our inability to achieve our milestones and timelines could have a material adverse impact on our business, prospects, results of operations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government funding, which if lost or reduced, could have a material adverse effect on our research and development activities and our ability to commercialize our DeepView technology. Our largest contract is with BARDA and is the largest single source of revenue for us. Our BARDA contract is not guaranteed to be extended.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not made any commercial sales of our DeepView System. We receive almost all of our revenue from fees and costs payable by BARDA, and to a lesser extent the Defense Health Agency (“DHA”) of the United States Department of Defense. We currently have agreements with each of BARDA and the DHA to support continued development of the next generation of our DeepView technology. While we believe we have very good working relationships with BARDA and DHA, the loss of one or both of our contracts with BARDA and DHA would have an adverse impact on our business, prospects, results of operations and financial condition. While we expect diversification of customers in future years, assuming we are able to obtain the necessary regulatory clearances, approvals, De Novo classifications, or certifications (each of which cannot be guaranteed and may take longer than planned) to commercialize our product, for the time being we are substantially dependent on funding from BARDA and DHA.</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BARDA contract is the largest single source of revenue for us. On September 27, 2023, the Company executed a new contract with BARDA, providing the Company with additional funding of up to $150.0 million, including an initial award of approximately $54.9 million to support the clinical validation and FDA clearance of our DeepView System, in place of the prior contract Option 2 award which was approximately $21.9 million. The contract also includes options, similar to our prior BARDA contracts, with an additional total value of approximately $95.1 million which can be exercised for additional product development, procurement and the expanded deployment of DeepView Systems at emergency rooms, trauma and burn centers. While we currently have no reason to believe that we will fail to achieve these contract milestones and decision gates or that these further options will not be exercised, and while the BARDA contract has been renewed or extended historically, there is no guarantee that the BARDA contract will be renewed or extended in the future, and there are no assurances that we will achieve the contract milestones and decision gates on a timely basis, or at all. As the BARDA contract is significant to us and is our largest single source of revenue, a decision by BARDA not to exercise further options would have a material adverse impact on our business, prospects, results of operations and financial condition.</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BARDA contract, the U.S. government has the right to terminate the contract for convenience or to terminate for default if we fail to meet our obligations as set forth in the contract. While the government has a right to terminate the BARDA contract for convenience, we believe that the government generally does not terminate funding awards unless there is reason, such as the funding contract becomes too costly, the agency seeks to avoid a dispute with another branch of government, or the agency decides to restructure its contractual arrangements and perform work in-house. We believe it is unlikely that BARDA will terminate its contract with us. However, there can be no guarantee that the BARDA contract will not be terminated.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BARDA were to terminate its contract with us, we may be entitled to settlement costs for payment for work already performed, but not yet paid, including costs incurred in anticipation of performance, and costs arising from termination and settling the termination, for example. However, as the BARDA contract is critical to our business at this time, non-extension or termination of the BARDA contract would have a material adverse impact on our business, prospects, results of operations and financial condition.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receive funding from a contract by the DHA within the U.S. Department of Defense, which enables us to research and develop a fully portable, handheld version of our DeepView System and has been extended through the second quarter of 2026. We were previously awarded a $1.1 million, Sequential Phase II STTR contract by the DHA within the U.S. Department of Defense, which is paid to us monthly, as well as a STTR Phase I and initial Phase II contract from the DHA.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Though the Company has no reason to believe that it will not be offered a Phase III contract, and while DHA contracts have been renewed or extended historically, there is no guarantee that the contract will be extended after the current period or that we will be offered a Phase III contract. As this contract is a key contract for the Company, non-extension of the contract, or a failure to enter into a new contract, could have a material adverse impact on the Company’s business, prospects, results of operations and financial condition. Under the terms of the DHA contract, the U.S. government has the right to terminate the contract for convenience or to terminate for default if we fail to meet our obligations as set forth in the contract.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are party to a Research Project Award agreement with the Advanced Technology International as Consortium Manager for MTEC. This agreement extends the DHA Phase II contract for the development of the handheld device of the DeepView System. Under the terms of this agreement, MTEC will pay us a firm fixed fee based upon our achievement of certain milestones (such as development of the image technology in the handheld device, validation of the design and development of a handheld device from the current cart-based system, completion of verification testing builds, and development of commercialization plan). In December 2025, the MTEC contract was extended to run through June 2026. However, there are no assurances that we will achieve the contract milestones on a timely basis, or at all. Failure to receive the fee under the contract could have a material adverse impact on the Company’s business, prospects, results of operations and financial condition.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finance our planned operations, and may not be able to raise capital when needed, which could force us to delay clinical trials necessary to market our products or delay establishment of sales and marketing capabilities or other activities necessary to commercialize our products.</w:t>
      </w:r>
    </w:p>
    <w:p>
      <w:pPr>
        <w:spacing w:after="0" w:line="17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On March 24, 2025, the Company completed an equity financing and entered into a long-term debt financing agreement with Avenue Venture Opportunities Fund II, L.P., a fund of Avenue Capital Group (the “Avenue Financing”), with an initial draw-down of $8.5 million. The term of the Avenue Financing is for three years, with an interest-only payment period of no less than 15 months, which can be extended to 24 months upon achieving the milestones for the second financing tranche. The second financing tranche, which includes an additional $6.5 million in debt financing from Avenue Capital Group is contingent upon; (i) FDA clearance of the DeepView System and (ii) the Company completing a $7.0 million equity raise. The borrowings under the Avenue Financing accrue interest at a variable amount per annum equal to the greater of (i) the sum of (A) the Prime Rate plus (B) 5.25%, and</w:t>
      </w:r>
    </w:p>
    <w:p>
      <w:pPr>
        <w:spacing w:after="0" w:line="5" w:lineRule="exact"/>
        <w:rPr>
          <w:sz w:val="20"/>
          <w:szCs w:val="20"/>
          <w:color w:val="auto"/>
        </w:rPr>
      </w:pPr>
    </w:p>
    <w:p>
      <w:pPr>
        <w:ind w:firstLine="8"/>
        <w:spacing w:after="0" w:line="260" w:lineRule="auto"/>
        <w:tabs>
          <w:tab w:leader="none" w:pos="2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12.75%, and they mature on March 1, 2028 (the “Maturity Date”). In addition, on the Maturity Date a final payment of $0.8 million is due to Avenue Capital Group and is accrued as debt as of September 30, 2025. The Avenue Financing is described more in depth below.</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and cash equivalents, together with the remaining funding available to us under the BARDA contract, the MTEC Agreement, the Avenue Financing, the Yorkville SEPA and other financings completed by the Company will be sufficient to meet our capital requirements and fund our operations through at least the next 12 months from the release date of the consolidated financial statements included in this annual report. However, we have based these estimates on assumptions that may prove to be wrong, and we could utilize our available capital resources sooner than we currently expect. Changing circumstances could cause us to consume capital significantly faster than we currently anticipate, and we may need to raise capital sooner or in greater amounts than currently expected because of circumstances beyond our control.</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require additional capital in the future to fund our operating expenses and to further our product development efforts, including seeking the necessary regulatory clearances, approvals, De Novo classifications, or certifications (each which cannot be guaranteed and may take longer than planned) for our DeepView System and growing our sales and marketing organization. To the extent additional capital is necessary, there are no assurances that we will be able to raise additional capital on favorable terms or at all, and therefore we may not be able to execute our business plan. Our future funding requirements will depend on many factors, including:</w:t>
      </w:r>
    </w:p>
    <w:p>
      <w:pPr>
        <w:spacing w:after="0" w:line="18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studies;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additional regulatory clearances, approvals, De Novo classifications, or certifications;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acceptance of our DeepView System, assuming we receive the necessary regulatory clearances, approvals, De Novo classifications, or certifications (each of which cannot be guaranteed and may take longer than planned);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investment in our sales force and expansion of our commercial organization;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DeepView System at increased production levels;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recall that may occur;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new products or technologies or other adverse market developments;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any pandemic, epidemic or outbreak of an infectious disease.</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this offering.</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rights related to our products or technologies that we otherwise would seek to develop or commercialize ourselves. In addition, we may be forced to work with a partner, which could lower the economic value of our programs to us.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unable to obtain adequate financing on terms satisfactory to us when we require it, we may be required to terminate or delay the development of our DeepView technology or any future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Regulatory Review</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review process is expensive, time-consuming, and uncertain and we may be unable to obtain clearance, approval, De Novo classification, or certification for our DeepView technology.</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research, design, testing, manufacturing, labeling, selling, marketing and distribution of medical devices are subject to extensive regulation by country-specific regulatory authorities, which regulations differ from country to country.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is no guarantee that our DeepView System or any future products will receive the requisite market authorization, approval, or De Novo classification for clinical testing, manufacturing, or marketing. While preliminary results have been encouraging and indicative of the potential performance of our DeepView System, data already obtained, or obtained in the future, from clinical studies do not necessarily predict the results that will be obtained from later clinical studies. We will be required to incur significant costs in obtaining market authorization, or De Novo classifications for our DeepView System.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or a new use of, new claim for or significant modification to an existing product, we must first receive 510(k) clearance, approval of a pre-market approval application (“PMA”) or be granted De Novo classification pursuant to the Federal Food, Drug, and Cosmetic Act (the “FDCA”), unless an exemption applies. Oftentimes the length of the time and expense are prohibitively long and high, respectively, and it may be impractical or impossible to pursue the PMA regulatory route should our De Novo request be denied.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order to sell our device in member states of the European Union (“EU”), the device must also comply with the general safety and performance requirements of the EU Medical Devices Regulation (Regulation (EU) No 2017/745). Compliance with these requirements is a prerequisite to be able to affix the CE mark to our device, without which it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risks which may be associated with their use constitute acceptable risks when weighed against the benefits to the patient and are compatible with a high level of protection of health and safety, taking into account the generally acknowledged state of the art.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United Kingdom (“UK”), post-Brexit, medical devices are regulated under the Medical Devices Regulations 2002 (“MDR 2002”), which implement the three EU Medical Devices Directives into UK law. The UK decided it would not give effect to the EU Medical Devices Regulation. Instead, the UK government and the Medical Devices and Healthcare Regulatory Authority (“MHRA”) are currently considering amending the UK MDR. The device must comply with the MDR 2022 and any future UK MDR amendment in order to be sold of marketed in the UK.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market authorization, approval, De Novo classification, or certification by any regulatory authority does not ensure marketing authorization or similar registration, clearance, approval, or certification by regulatory authorities in other countries. However, failure to obtain or delay in obtaining authorization, registration, clearance, approval, or certification in one or more regulatory jurisdictions may have a negative effect on the regulatory process in others.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delays in completing clinical trials, which could prevent or significantly delay our targeted product launch timeframe and impair our viability and business plan.</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completion of any clinical trials of our DeepView System, or other studies that we may be required to undertake in the future, could be delayed, suspended or terminated for several reasons, including:</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or be unable to conduct the clinical trials in accordance with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and onboarding of clinical sites or a Contract Research Organization (“CRO”) may take longer than anticipated;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participating in a clinical trial may drop out of the trial, which may require us to engage new sites for an expansion of the number of sites that are permitted to be involved in the trial;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not enroll in, remain in or complete, clinical trials at the rates we expect;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or unexpected developments may occur that affect the patients’ safety;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issues may prevent us from continuing to use our investigational devices in clinical evaluations;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may not perform our clinical trials on our anticipated schedule or consistent with the clinical trial protocol and good clinical practices.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the FDA, applicable foreign regulatory entities or notified body can delay, limit or deny clearance, approval, De Novo classification, with regards to the US, or certification of a device for many reasons, including:</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our products are (i) substantially equivalent, in the case of a 510(k) clearance, (ii) safe or effective for their intended uses, in the case of a PMA, or (iii) that general controls alone or general and special controls together provide reasonable assurance of safety and effectiveness for the intended use, in the case of De Novo classification;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body with the design or implementation of our clinical trials (including, for purposes of the EU, clinical investigations) or the interpretation of data from pre-clinical studies or clinical trials, as applicable and to the extent required to support marketing authorization or certification;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discovery of issues that relate to safety or effectiveness of the device during or after the regulatory review process;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policies or regulations of the FDA or applicable foreign regulatory bodies to change significantly in a manner rendering our clinical data, as applicable, and/or regulatory filings insufficient for market authorization, De Novo classification, or certification.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our clinical trials are delayed, it will take us longer to ultimately launch our DeepView System in the market and generate revenues. Moreover, our development costs will increase if we have material delays in our clinical trials or if we need to perform more or larger clinical trials than planned.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to assist us with pre-clinical development or to prepare our regulatory submissions do not perform as contractually required or expected, we may not be able to obtain market authorization, De Novo classification, certification or other required regulatory authorizations or certifications to commercialize our products.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do not have the ability to independently conduct all of our pre-clinical and clinical trials for our DeepView System and to prepare the associated regulatory submissions without the participation of third-party research hospitals, burn and wound centers. We must rely on third parties such as CROs, medical institutions and clinical investigators to conduct such trials. If these third parties do not successfully carry-out their contractual duties or comply with regulatory obligations, including compliance with Good Clinical Practice (“GCP”) requirements or meet expected deadlines, if these third parties need to be replaced, if the quality or accuracy of the data they obtain is compromised due to a failure to adhere to our clinical protocols or regulatory requirements or for other reasons, or if the prepared regulatory submission does not meet the regulatory agencies’ expectations or requirements, our pre-clinical development activities or clinical trials may be extended, delayed, suspended or terminated. Furthermore, our third-party clinical trial investigators may be delayed in conducting our clinical trials for reasons outside of their control, including any pandemic, epidemic or outbreak of an infectious disease. In the event of such extensions, delays, suspensions or terminations, we may not be able to obtain market authorization, De Novo classification, certification or other required regulatory authorizations or certifications for, or successfully commercialize, our DeepView System on a timely basis, if at all, and our business, financial condition and results of operations may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the legislative bodies of the countries in which we intend to sell our DeepView System, assuming we receive the necessary market authorization. In addition, regulations and guidance are often revised or reinterpreted by the applicable competent authority in ways that may significantly affect our business and our products. For example,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FDA regulations and guidance are often revised or reinterpreted by the FDA in ways that may significantly affect our business. Any new statutes or regulations or revisions or reinterpretations of existing statutes or regulations may impose additional costs or lengthen review times or make it more difficult to obtain market authorization for our DeepView System. We cannot determine what effect changes in regulations, statutes, legal interpretation or policies, when and if promulgated, enacted or adopted may have on our business. Such changes could, among other things, require: additional testing prior to obtaining marketing authorization; changes to manufacturing methods; recall, replacement or discontinuance of our products; or additional record keeping.</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approval, or De Novo classification of our DeepView System.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clearance, approval, or De Novo classification that we may have obtained and we may not achieve or sustain profitability.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landscape concerning medical devices in the EU has evolved in recent years.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United Kingdom (“UK”), post-Brexit, medical devices are regulated under the Medical Devices Regulations 2002 (“MDR 2002”), which implement the three EU Medical Devices Directives into UK law. The UK decided it would not give effect to the EU Medical Devices Regulation. Instead, the UK government and the Medical Devices and Healthcare Regulatory Authority (“MHRA”) are currently considering amending the UK MDR. This new regulatory framework for medical devices in the UK is expected to become applicable as from July 2024. It is not clear to what extent the future UK regulatory framework will align with the EU Medical Devices Regulation, which may lead to duplicative or divergent requirements.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new regulations or revisions or reinterpretations of existing regulations may impose additional costs or lengthen review times of future products or limit our ability to sell to clinicians. It is impossible to predict whether legislative changes will be enacted or if regulations, guidance or interpretations will change and what the impact of such changes, if any, may be.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ability of the FDA, foreign regulatory agencies and the notified body, to review and clear, approve, certify, or grant De Novo classifications for new products can be affected by a variety of factors, including government budget, funding shortages, political climate and funding levels, government shutdowns, ability to hire and retain key personnel and accept the payment of user fees and statutory, regulatory and policy changes. Average review times at these organizations have fluctuated in recent years as a result. In addition, government funding of other government agencies that oversee clearances and approvals and that fund research and development activities is subject to the political process, which is inherently fluid and unpredictable.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Disruptions at these agencies and bodies may slow the time necessary for new devices to be reviewed and/or cleared, approved or certified, which would adversely affect our business. For example, over the last several years, the U.S. government has shut down several times and certain regulatory agencies, such as the FDA, have had to furlough critical FDA employees and stop critical activities. It is possible that new COVID-19 variants or a new public health emergency will emerge in the future, further interrupting and affecting the agency’s ability to carry out inspections in a timely manner. In such cases, regulatory authorities and certification bodies outside the United States may adopt similar restrictions, inspection priorities, or other policy measures in response to the COVID-19 or any other public health emergency or revert to relying on remote interactive evaluations, record requests or information from trusted regulatory partners if on-site inspections are not feasible.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FDA reallocated its personnel and resources during the COVID-19 pandemic, including for reviewing applications for emergency use authorizations for certain medical devices that may be helpful in responding to the pandemic. If a prolonged government shutdown occurs in the future, or if future global health concerns prevent the FDA, and other foreign regulatory authorities and certification bodies from conducting their regular inspections, reviews, or other regulatory activities, it could significantly impact the ability of the FDA, and other regulatory authorities and certification bodies to timely review and process our regulatory submissions, which could have a material adverse effect on our business.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instance, in the EU, notified bodies must be officially designated to certify products and services in accordance with the EU Medical Devices Regulation. While several notified bodies have been designated, the COVID-19 pandemic significantly slowed down their designation process and the current designated notified bodies are facing a large amount of requests with the new regulation, resulting in longer notified body review times. This situation could impact our ability to grow our business in the EU and EEA.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Ongoing Government Regulation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 authorization, or even if the FDA grants our De Novo classification request, we will continue to be subject to extensive ongoing regulation. If we fail to maintain necessary clearances, approvals, classifications, or certifications from the FDA, other applicable foreign regulatory authorities and notified bodies; or if there are state, federal or international level regulatory changes, our commercial operations could be harmed.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FDA grants our market authorization or grants the De Novo classification for our DeepView technology, our technology will be subject to extensive ongoing regulation in the United States by the FDA and by corresponding state regulatory agencies and authorities. It will also be subject to extensive regulation by EU institutions as well as EU member states’ regulatory authorities and notified bodies and the regulatory bodies of any other countries in which we receive the necessary regulatory approvals. These regulations pertain to the design, development, evaluation, manufacturing, testing, labeling, marketing, sale, advertising, promotion, distribution, shipping and servicing of products. These entities regulate and oversee record-keeping procedures, safety alerts, recalls, market withdrawals, removals and field corrective actions, post-market surveillance, including reporting of deaths or serious injuries and malfunctions that, if they were to reoccur, could lead to death or serious injury, and product import and export.</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regulations to which we will be subject are complex and have become more stringent over time. Regulatory changes could result in restrictions on our ability to carry on or expand our operations, higher than anticipated costs or lower than anticipated sales. Such regulations, and interpretations thereof, may limit our ability to market or prevent us from marketing our products. Further, the FDA, foreign regulatory agencies and U.S. state agencies have broad enforcement powers, and our failure to comply with state, federal and international regulations could lead to enforcement actions such as warning letters or untitled letters; the imposition of injunctions, suspensions or loss of regulatory clearance or approvals; product recalls; safety alerts; termination of distribution; product seizures; consent decrees; civil penalties; or import detentions, import refusals, or import alerts. In the most extreme cases, criminal sanctions, administrative sanctions (e.g., seizure), injunctions, or closure of our manufacturing facilities are possible.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Even after clearance, approval, or De Novo classification, under the FDCA and FDA regulations, the scope of marketing claims we can make about cleared or approved devices, or devices that were granted De Novo classification is limited to the indications that were previously reviewed and permitted by the FDA. Other countries also have similar laws and regulations restricting marketing to such indications. If a regulatory agency determines that any of our marketing claims exceed the scope of permitted indications in a particular country, we may be subject to enforcement action and/or we may be required to cease making the challenged marketing claims, issue corrective communications, pay fines or stop selling products until the incorrect claims have been corrected.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Sales of our DeepView System outside the United States, if approved, will be subject to foreign regulatory requirements that vary widely from country to country, and such regulatory requirements have been changing and increasing in some countries. Complying with international regulatory requirements can be an expensive and time-consuming process. We may be unable to obtain or maintain regulatory clearances, approvals, De Novo classifications, or certifications in these countries. We may incur significant costs in attempting to obtain, renew, or modify foreign regulatory clearances or approvals, De Novo classifications, or certifications. If we experience difficulties in receiving, maintaining, renewing or modifying necessary clearances, approvals, De Novo classifications, or certifications to market our products outside the United States, or if we fail to receive, renew, modify or maintain those clearances, approvals, De Novo classifications, or certifications, we may be unable to market our products or enhancements in certain international markets effectively,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DeepView System requires a De Novo classification.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since the DeepView System utilizes a novel approach to wound healing prediction that has not been previously classified by the FDA and it is not substantially equivalent to any existing device on the market, it requires a De Novo classification. If we wish to market modified versions of DeepView System, we will need to make this determination before doing so and document our conclusion regarding the necessity of further regulatory review. The FDA may review such determinations and may not agree with our decisions regarding whether new 510(k), PMA, or De Novo classifications are necessary. If we are found to be marketing our products for off-label uses or indications for use that have not received the requisite clearances, approvals, De Novo classifications, or certifications, we might become subject to FDA and other competent authorities’ enforcement action or have other resulting liability. In addition, if the FDA or the competent authorities in the EU member states and EEA countries determine that our promotional materials or training constitute promotion of a use which is unapproved, not cleared, not covered by the De Novo classification order, not covered by a CE mark, or not in compliance with other regulatory authorities’ requirements, they could request that we modify our training or promotional materials or subject us to regulatory or enforcement actions, including the issuance of an untitled letter, a warning letter, an injunction, product seizures, consent decrees, civil fines, criminal penalties, import detention, import refusals, or import alerts.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our DeepView System is found to cause or contribute to adverse medical events, this could interrupt, delay, or prevent its continued development, or negatively affect the market authorization, De Novo classification, or certification. We may be required to report them to the FDA or comparable regulatory authority, and if we fail to do so, we could be subject to sanctions that could harm our reputation, business, financial condition and results of operations, and become subject to further administrative and regulatory enforcement actions. The discovery of serious safety issues with our DeepView System, or a recall of our device either voluntarily or at the direction of the FDA or another governmental authority, could have a negative impact on us.</w:t>
      </w:r>
    </w:p>
    <w:p>
      <w:pPr>
        <w:spacing w:after="0" w:line="18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our DeepView System is approved for commercialization, we will be subject to the FDA’s medical device reporting regulations and similar foreign regulations, which require us to report to the FDA or comparable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For investigational devices in clinical evaluation, investigators are required to submit a report of an unanticipated adverse device effect (“UADE”) to the sponsor within 10 working days after becoming aware of the UADE. We, as the sponsor, must evaluate the UADE and report the result of the investigation to FDA, institutional review boards, and all participating investigators within 10 working days of receiving the notice of the UADE. In certain cases, we may be required to terminate the clinical investigation. The timing of our obligation to report is triggered by the date when we receive the notice or when we otherwise become aware of the event, as well as the nature of the event. We may fail to report within the prescribed timeframe events of which we become aware. The investigator in the clinical evaluation may not be aware of the reporting or notification requirements or may otherwise fail to report a UADE. We may also fail to recognize that a reportable event has occurred, especially if it is not reported to us as an adverse event or if it is an adverse event that is unexpected or removed in time from the use of the product. If we fail to comply with our reporting obligations, the FDA or comparable regulatory authorities could act, including warning letters, untitled letters, administrative actions, criminal prosecution, imposition of civil monetary penalties, delay or termination of clinical investigations, revocation of our marketing authorizations, seizure of our products or delay in obtaining marketing authorizations or certifications for our product candidates.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FDA and in certain cases, equivalent foreign regulatory bodies, have the authority to require the recall of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we determine that such reasonable probability exists, or otherwise, if any material deficiency is found. Such recalls, whether government-mandated or voluntary, could occur as a result of an unacceptable risk to health, component failures, malfunctions, manufacturing defects, labeling or design deficiencies, packaging defects, or other deficiencies or failures to comply with applicable regulations. In addition, for investigational devices in development, non-compliance with the above or related requirements may have a negative effect on our application process, and the FDA or other foreign regulatory bodies may delay or refuse to clear, approve, issue the De Novo classification request, or issue a certification for our device.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foreign regulatory authorities or bodies may require, or we may decide, that we need to obtain new clearances, approvals, De Novo classifications, or certifications for the device before we may market or distribute the corrected device. Seeking such clearances, approvals, De Novo classifications, or certifications may delay our ability to replace the recalled devices in a timely manner. Moreover, if we do not adequately address problems associated with our devices, we may face additional regulatory enforcement action, including FDA or foreign regulatory bodies’ warning letters, product seizures, injunctions, administrative penalties or civil or criminal fines.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Quality is extremely important to us and our customers due to the impact on patients, and the serious and potentially costly consequences of product failure. Our business exposes us to potential product liability risks that are inherent in the design, manufacture, and marketing of medical devices. Once commercialized, many of our products will be used in settings with seriously ill patients where the devices’ failure may cause serious adverse effects on the patients. Component failures, manufacturing non-conformances, design defects, off-label or unapproved use, insufficient training of healthcare professionals, or inadequate disclosure of product-related risks or product-related information with respect to our products, if they were to occur, could result in an unsafe condition or injury to a patient. These problems could lead to recall of, or issuance of a safety alert relating to, our products, and could result in product liability claims and lawsuits, including class actions. If such problems occur during clinical investigations, FDA or other foreign regulatory agencies may refuse to grant market authorization or a De Novo classification request, or issue certifications for our products. In addition, negative publicity resulting from such problems may negatively affect or seriously hinder the sales of our products even after market authorization, De Novo classification, or certification. Any of the foregoing problems, including future product liability claims or recalls, regardless of their ultimate outcome, could harm our reputation and have a material adverse effect on our business, results of operations, financial condition and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enforcement agencies actively enforce the laws and regulations prohibiting the promotion of off-label or unapproved uses. If we are found to have improperly promoted off-label or unapproved uses, we may become subject to significant liability.</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we decide to market any of our products, our marketing practices must stay within the scope of the permitted claims under the market authorization or De Novo classification order that we may receive in the future. The FDA and other regulatory enforcement agencies strictly regulate the promotional claims that may be made about medical devices. While we cannot restrict or dictate the healthcare professionals’ use of our devices, we cannot market for any off-label uses, or any uses that FDA has not reviewed and permitted. The use of the DeepView System for indications other than those for which FDA cleared, approved, or granted De Novo classification requests, or otherwise were certified by a notified body or foreign regulatory enforcement authority, may not effectively diagnose conditions not referenced in product indications, which could harm our reputation in the marketplace among clinicians. If we are found to have promoted such off-label uses or unapproved uses, we may become subject to significant government fines and other related liability. For example, 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among others.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The federal government has levied large civil and criminal fines against companies for alleged improper promotion and has enjoined several companies from engaging in off-label promotion or promotion of unapproved uses. The FDA has also requested that companies enter into consent decrees or permanent injunctions under which specified promotional conduct is changed or curtailed.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clinicians may misuse our products or use improper techniques if they are not adequately trained, potentially leading to misdiagnosis, injury, and an increased risk of product liability. If our device is misused or used with improper technique, we may become subject to costly litigation by clinicians or their patients. Even if we ultimately prevail, product liability claims could divert management’s attention from our core business and be expensive to defend. If we do not prevail, such claims may result in sizeable damages awards against us that may not be covered by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anti-kickback, fraud and abuse, false claims, transparency, and other healthcare laws and regulations.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our DeepView System is approved for commercialization, our future operations will be subject to various federal and state healthcare laws and regulations. These laws will affect our sales, marketing and other promotional activities by limiting the kinds of financial arrangements, including sales programs, we may develop with hospitals, clinicians or other potential purchasers or users of medical devices and services. They also impose additional administrative and compliance burdens on us. In particular, these laws will influence, among other things, how we structure our sales, placement and rental offerings, including discount practices, clinician support, education and training programs and clinician consulting and other service arrangements. The laws that may affect our practices and arrangements include, but are not limited to:</w:t>
      </w:r>
    </w:p>
    <w:p>
      <w:pPr>
        <w:spacing w:after="0" w:line="187" w:lineRule="exact"/>
        <w:rPr>
          <w:sz w:val="20"/>
          <w:szCs w:val="20"/>
          <w:color w:val="auto"/>
        </w:rPr>
      </w:pPr>
    </w:p>
    <w:p>
      <w:pPr>
        <w:jc w:val="both"/>
        <w:ind w:left="660" w:hanging="328"/>
        <w:spacing w:after="0" w:line="25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good or service, for which payment may be made, in whole or in part, under federal healthcare programs such as Medicare and Medicaid.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civil False Claims Act, which prohibits any person from, among other things, knowingly presenting, or causing to be presented false or fraudulent claims for payment of government funds; knowingly making, using or causing to be made or used, a false record or statement material to an obligation to pay money to the government or knowingly and improperly avoiding, decreasing or concealing an obligation to pay money to the U.S. federal government. In addition, any claims submitted as a result of a violation of the federal Anti-Kickback Statute constitute false claims and are subject to enforcement under the False Claims Act. Actions under the False Claims Act may be brought by the government or as a qui tam action by a private individual in the name of the government and to share in any monetary recovery. Qui tam actions are filed under seal and impose a mandatory duty on the U.S. Department of Justice to investigate such allegations. False Claims Act liability is potentially significant in the healthcare industry because the statute provides for treble damages and significant mandatory penalties (adjusted annually for inflation) per false claim or statement for violations. Because of the potential for large monetary exposure, healthcare companies often resolve allegations without admissions of liability for significant and sometimes large settlement amounts to avoid the uncertainty of treble damages and per claim penalties that may be awarded in litigation proceedings. Many device manufacturers have resolved investigations of alleged improper activities, including causing false claims to be submitted as a result of the marketing of their products for unapproved and thus non reimbursable uses, and other interactions with prescribers and others including those that may have affected their billing or coding practices and submission to the federal government. Moreover, to avoid the risk of exclusion from federal healthcare programs as a result of a False Claims Act settlement, companies may enter into corporate integrity agreements with the government, which may impose substantial costs on companies to ensure compliance. There are also criminal penalties, including imprisonment and criminal fines, for making or presenting a false or fictitious or fraudulent claim or statement to the federal government;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left="328" w:hanging="328"/>
        <w:spacing w:after="0" w:line="256"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healthcare statutes that were added by the Health Insurance Portability and Accountability Act of 1996 (“HIPAA”) and its implementing regulations, which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spacing w:after="0" w:line="187"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(“EKRA”), 18 U.S.C. § 220, makes it a federal crime for anyone, with respect to services covered by a health care benefit program, to knowingly and willfully solicit or receive any remuneration in return for referring a patient or patronage to a recovery home, clinical treatment facility, or laboratory; or to pay or offer any remuneration to induce a referral of an individual to a recovery home, clinical treatment facility, or laboratory; or in exchange for an individual using the services of that recovery home, clinical treatment facility, or laboratory. EKRA applies more broadly than the federal Anti-Kickback Statute, as “health care benefit program” includes not only state and federal health care programs, but also private health plans. EKRA also has fewer statutory safe harbors and no regulatory state harbors. Violations of this provision may result in substantial fines and/or imprisonment. Additional violations that may be imposed include sanctions, licensure revocations, or the exclusion from participating in governmental healthcare programs;</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(the “Sunshine Act”) and its implementing regulations, which requires certain manufacturers of drugs, devices, biologics and medical supplies that are reimbursable under Medicare, Medicaid, or the Children’s Health Insurance Program to report annually to the CMS information related to certain payments made in the preceding calendar year and other transfers of value to physicians and teaching hospitals, as well as ownership and investment interests held by physicians and their immediate family members. Beginning January 1, 2022, manufacturers will also be required to report payments and other transfers of value made during the prior calendar year to physician assistants, nurse practitioners, clinical nurse specialists, certified nurse anesthetists, and anesthesiology assistants; and</w:t>
      </w:r>
    </w:p>
    <w:p>
      <w:pPr>
        <w:spacing w:after="0" w:line="187"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state laws and regulations, including state payment reporting, anti-kickback and false claims laws, that may apply to items or services reimbursed by any third-party payor, including private insurers; foreign and state laws that require medical device companies to comply with the medical device industry’s voluntary compliance guidelines and the relevant compliance guidance promulgated by the U.S. federal government and other national governments, or otherwise restrict payments that may be made to healthcare providers and other potential referral sources; and foreign and state laws and regulations that require drug and device manufacturers to report information related to payments and other transfers of value to dental practitioners and other healthcare providers or marketing expenditures, many of which differ from each other in significant ways and may not have the same effect, thus complicating compliance efforts.</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7" w:name="page28"/>
    <w:bookmarkEnd w:id="2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scope and enforcement of these laws is substantial and subject to rapid change. The shifting compliance environment and the need to build and maintain robust compliance programs,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 Because of the breadth of these laws and the narrowness of available statutory and regulatory exemptions or safe harbors, it is possible that some of our future activities could be subject to challenge under one or more of such laws. Any government investigation, even if we are able to successfully defend against it, will require the expenditure of significant resources, is likely to generate negative publicity, harm our reputation and potentially our financial condition and divert the attention of our management. Moreover, any investigation into our practices could cause adverse publicity and require a costly and time-consuming response. If our operations are found to be in violation of any of these laws or any other governmental regulations that may apply to us, we may be subject to significant civil, criminal and administrative penalties, damages, fines, imprisonment of individuals, exclusion from government funded healthcare programs, such as Medicare and Medicaid, imposition of compliance obligations and monitoring, and the curtailment or restructuring of our operations. Any of the foregoing consequences could seriously harm our business and our financial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DeepView System.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our DeepView System, if it receives the necessary market authorization. Federal and state lawmakers regularly propose and, at times, enact legislation that would result in significant changes to the healthcare system, some of which are intended to contain or reduce the costs of medical products and services. Current and future legislative and regulatory proposals to further reform healthcare or reduce healthcare costs may limit coverage of or lower reimbursement for the procedures associated with the use of our DeepView System. The cost containment measures that payors and providers are instituting and the effect of any healthcare reform initiative implemented in the future could impact our revenue from the sale of our DeepView System.</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payors of healthcare services to contain or reduce costs of healthcare may harm:</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DeepView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what other laws and regulations will ultimately be enacted and implemented at the federal or state level or the effect of any future legislation or regulation in the United States on our business, financial condition, prospects and results of operations. Future changes in healthcare policy could increase our costs and subject us to additional requirements that may interrupt commercialization of our current and future solutions, decrease our revenue and impact sales of and pricing for our current and future products.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manufacturers fail to comply with the regulatory quality system regulations or any applicable equivalent regulations, our proposed operations could be interrupted, and our operating results would suffer.</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currently outsource all of our manufacturing to a contract manufacturer and as such we are not in direct control of the manufacture of our products and are, therefore, exposed to the risk of poor product quality, non-adherence to applicable standards, disruptions in supply chain, or other matters.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third-party manufacturers and suppliers will be required, to the extent of applicable regulation, to follow the quality system regulations of each jurisdiction in which we will seek to market our products and also will be subject to the regulations of these jurisdictions regarding the manufacturing processes. If our manufacturers or suppliers are found to be in significant non-compliance or fail to take satisfactory corrective action in response to adverse regulatory findings in this regard, regulatory agencies could take enforcement actions against such manufacturers or suppliers, which could impair or prevent our ability to produce our products in a cost-effective and timely manner in order to meet customers’ demands. Accordingly, our operating results would suffer.</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mitigate these risks, we perform regularly scheduled visits with our contract manufacturer and routinely inspect the quality and performance of the device in accordance with federally mandated standards and certification standards of the International Organization for Standardization (“ISO”). Our current contract manufacturer, Cobalt Product Solutions, is located within a short driving distance from our headquarters and allows our employees to have hands-on interaction and timely inspections of the device. However, a future pandemic, epidemic or other infectious disease outbreak could hinder or prevent continued hands-on and timely inspections of the device and the facilities.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 to comply with data protection, privacy and security laws, regulations, standards and other requirements could negatively affect our business, financial condition or results of operations.</w:t>
      </w:r>
    </w:p>
    <w:p>
      <w:pPr>
        <w:spacing w:after="0" w:line="15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be subject to federal, state, and foreign data protection laws and regulations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laws and regulations that address privacy and data security). 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could apply to our operations or the operations of our partners. For example, HIPAA, as amended by the Health Information Technology for Economic and Clinical Health Act of 2009 (“HITECH”), and the regulations implemented thereunder, or collectively, HIPAA, imposes obligations on “covered entities,” including certain health care providers, health plans, and health care clearinghouses, and their respective “business associates” that create, receive, maintain or transmit individually identifiable health information (“PHI”) for or on behalf of a covered entity, as well as their covered subcontractors with respect to safeguarding the privacy, security and transmission of individually identifiable health information. Entities that are found to be in violation of HIPAA, whether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Foreign data protection laws, including the General Data Protection Regulation (the “GDPR”), which went into effect in May 2018, may also apply to our processing of health-related and other personal data regardless of where the processing in question is carried out. The GDPR imposes stringent requirements for controllers and processors of personal data of individuals within the European Economic Area (the “EEA”). The GDPR applies to any company established in the EEA as well as to those outside the EEA if they collect, process, and use personal data in connection with the offering of goods or services to individuals in the EEA or the monitoring of their behavior. The GDPR, together with national legislation, regulations and guidelines of the EEA countries governing the processing of personal data, impose strict obligations and restrictions on the ability to collect, analyze and transfer personal data, including health data from clinical trials and adverse event reporting. In particular, these obligations and restrictions involve the consent of the individuals to whom the personal data relates, the information provided to the individuals, the transfer of personal data out of the EEA to jurisdictions deemed to have inadequate, security breach notifications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If necessary, we will be required to implement revised standard contractual clauses, in relation to relevant existing contracts and certain additional contracts and arrangements, within the relevant time frames. There is some uncertainty around whether the revised clauses can be used for all types of data transfers, particularly whether they can be relied on for data transfers to non-EEA entities subject to the GDPR.</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The European Commission has adopted an adequacy decision in favor of the United Kingdom, enabling data transfers from EU member states to the United Kingdom without additional safeguards. However, the United Kingdom adequacy decision will automatically expire in June 2025 unless the European Commission re-assesses and renews/extends that decision and remains under review by the Commission during this period. The relationship between the UK and the European Union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Implementing mechanisms that endeavor to ensure compliance with the GDPR and relevant local legislation in EEA countries and the UK, if necessary, may be onerous and may interrupt or delay our development activities, and adversely affect our business, financial condition, prospects and results of operations. While we have taken steps to comply with the GDPR where applicable, including by reviewing our security procedures, and entering into data processing agreements with relevant contractors, our efforts to achieve and remain in compliance may not be fully successful.</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Compliance with applicable US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spacing w:after="0" w:line="176"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requirements, including those laws requiring the reporting of true, complete and accurate information to the FDA authorities, such as reporting of UADEs during clinical investigations;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GCP that relate to clinical investigations, including financial disclosure, informed consent and protection of human subjects, and requirements that relate to investigational device exemptions;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 such as FDA’s Quality System Regulation (“QSR”)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OIG could result in penalties, a loss of business from third parties, and severe reputational harm.</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the regulatory framework for AI technology evolves, our business, financial condition and results of operation may be adversely affected.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utilize artificial intelligence, including machine learning, in our predictive analytics platforms. In recent years, the use of AI has come under increased regulatory scrutiny. The regulatory framework for AI technology is evolving and remains uncertain. It is possible that new laws and regulations will be adopted in the United States and in non-U.S. jurisdictions, where we intend to do business subject to our receipt of the necessary market authorizations, or that existing laws and regulations may be interpreted in new ways that would affect our operations and the ways in which we may use our AI technology. Specifically, such laws and regulations may limit our ability to use our AI models or require us to make changes to our technology that may decrease our operational efficiency, result in an increase to operating costs, or hinder our ability to provide our services. Further, the cost to comply with such laws, rules or regulations could be significant and would increase our operating expenses, which could adversely affect our business, financial condition and results of operation.</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failure or perceived failure by us to comply with AI technology-related laws, rules and regulations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technology and business. Further, any such proceedings and any subsequent adverse outcomes may subject us to significant negative publicity. If any of these events were to occur, our business, results of operations and financial condition could be materially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environmental and occupational safety laws.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DeepView System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the commercial success of our DeepView System will depend upon the degree of market acceptance by clinicians.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Even if we receive the necessary regulatory approvals for commercialization, there is a risk that our DeepView System will not be accepted over competing products and that we will be unable to enter the marketplace or compete effectively. If the market for our DeepView System fails to develop or develops more slowly than expected, our business and operating results would be materially and adversely affected.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DeepView System will allow clinicians to make more accurate and efficient treatment decisions in the wound care sector. Whether clinicians choose to use our device over other market alternatives, however, is likely to be based on a determination that, among other things, our system is effective, safe, cost-effective and represents an acceptable method of diagnosis. Even if we can prove the effectiveness of our DeepView System through clinical trials, there may not be broad adoption and use of our device and clinicians may elect not to use our DeepView System for any number of reasons, including:</w:t>
      </w:r>
    </w:p>
    <w:p>
      <w:pPr>
        <w:spacing w:after="0" w:line="18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DeepView System and concerns that we are new to the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 generally associated with the use of our device;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(i) sufficient clinical evidence regarding our claims of superior diagnostic assessment and (ii) long-term data, supporting clinical benefits or the cost-effectiveness of our device over existing diagnostic alternatives;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key opinion leaders to provide recommendations regarding our device, or to assure clinicians and healthcare payors of the benefits of our device as an attractive alternative to other diagnostic options;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long-standing relationships with companies and distributors that sell other diagnostic products for wound care assessment;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over the capital investment required to purchase our DeepView System and perform the DeepView procedure;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of adequate third-party payor coverage or reimbursement;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alternative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favorable coverage decisions from payors, including, but not limited to, Medicare or Medicaid;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if approved, or approved or certified by other authorities or bodies.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educating notable industry key opinion leaders and clinicians about the merits and benefits of our DeepView System, including safety, performance, ease of use and efficiency will be critical for increasing the adoption of our device. Widespread adoption of new medical device technologies typically follows early adoption and promotion by key opinion and thought leaders in the relevant sectors. We have taken steps to address this by establishing strong relationships with leading U.S. hospitals around the country. The Company has enrolled subjects in its validation studies in clinical and academic sites across the US and the EU across well-known medical facilities. The Company has also signed with international partners, including well-respected institutions in the field. We believe that we will be able to leverage these relationships to access other institutions and individuals, which should increase awareness and early adoption of our technology in the United States, UK and EU. U.S. adoption will also benefit from the potential future BARDA funding of technology placement for burns applications.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clinicians do not adopt our DeepView System for any reason, including those listed above, our ability to execute our growth strategy will be impaired, and it will negatively affect our business, financial condition, prospects and results of operations. Even if our DeepView System achieves widespread market acceptance, it may not maintain such level of market acceptance over the long term if competing products or technologies, which are more cost-effective or received more favorably, are introduced. In addition, our limited commercialization experience makes it difficult to evaluate our current business and predict our future prospects. We cannot predict how quickly, if at all, clinicians will accept our DeepView System or, if accepted, how frequently it will be used. Failure to achieve or maintain market acceptance and/or market share could materially and adversely affect our ability to generate revenue and would have a material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marketing and selling our DeepView System and we may provide inadequate training, fail to increase our sales and marketing capabilities, or fail to develop and maintain broad brand awareness in a cost-effective manner.</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 experience marketing and selling our DeepView System. If our DeepView System is approved for commercialization, we expect to rely on a direct sales force to sell our product in targeted geographic regions and territories. Any failure to grow and maintain our direct sales force could harm our business. The members of our direct sales force will receive extensive training on our DeepView System and will possess technical expertise with respect to our technology. The members of our sales force will be at-will employees. The loss of these personnel to competitors, or otherwise, could materially harm our business. If we are unable to retain our direct sales force personnel or replace them when needed with individuals of comparable expertise and qualifications, or if we are unable to successfully instill such expertise in replacement personnel, our product sales, revenues and results of operations could be materially harmed.</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Identifying and recruiting qualified sales and marketing professionals and training them on our DeepView System, on applicable federal and state laws and regulations, and on our internal policies and procedures will require significant time, expense and attention. It may take several months or more before a sales representative is fully trained and productive. Our sales force may subject us to higher fixed costs than those of companies with competing products that can utilize independent third parties, placing us at a competitive disadvantage. Our business may be harmed if our efforts to train and grow our sales force do not generate significant product sales and revenue, and our higher fixed costs may slow our ability to reduce costs in the face of a sudden decline in demand for our technology. Any failure to hire, develop and retain talented sales personnel, to achieve desired productivity levels in a reasonable period of time or timely reduce fixed costs, could have a material adverse effect on our business, financial condition and results of operations.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our DeepView System is approved for commercialization, our ability to achieve broader market acceptance of our device will depend, to a significant extent, on our sales, marketing and educational efforts. We plan to dedicate significant resources to our sales, marketing and educational programs. Our business may be harmed if these efforts and expenditures do not generate sufficient revenue. In addition, we believe that developing and maintaining broad awareness of our DeepView System in a cost-effective manner is critical to achieving broad acceptance of our device. Promotional and educational activities may not generate clinician awareness or generate sufficient revenue, and even if they do, any revenue generated may not offset the costs and expenses we incur. If we fail to successfully promote our DeepView System in a cost-effective manner, we may fail to attract or retain the market acceptance necessary to realize a sufficient return on our promotional and educational efforts, or to achieve broad adoption of our products.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either on our own or in collaboration with third parties, we may not be successful in commercializing our DeepView System, if approved.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have any infrastructure currently in place for the sales, marketing or distribution of our DeepView System, or compliance functions related to such activities, and the cost of establishing and maintaining such an organization may exceed the cost-effectiveness of doing so. To market and successfully commercialize our DeepView System, if approved, we must build our sales, distribution, marketing, managerial, compliance, and other non-technical capabilities or make arrangements with third parties to perform these services. We expect to build a focused sales, distribution and marketing infrastructure to market the DeepView System, if approved. There are significant expenses and risks involved with establishing our own sales, marketing and distribution capabilities. Any failure or delay in the development of our internal sales, marketing, distribution and compliance capabilities could delay any product launch, which would adversely impact the commercialization of our product.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do not provide coverage and reimbursement for the use of our DeepView System, our business and prospects will be negatively impacted.</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receive the necessary regulatory approval to commercialize our DeepView System, sales of our DeepView System will depend, in part, on the extent to which the use of our device is covered and reimbursed by third-party payors, including private insurers and government healthcare programs such as Medicare Advantage plans and plans purchased through the ACA marketplace. Where third-party payor coverage is not available, patients will be responsible for all of the costs associated with the use of our device. Even if a third-party payor covers a particular use of our device, the resulting reimbursement rate may not be adequate to cover a provider’s cost to purchase our product or ensure such purchase is profitable for the provider.</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Third-party payors, whether governmental or commercial, are developing increasingly sophisticated methods of controlling healthcare costs. In addition, in certain countries,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will require us to provide scientific and clinical support for the use of our device to each payor separately, with no assurance that coverage and adequate reimbursement will be obtained or maintained if obtained.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future coverage and reimbursement may be subject to increased restrictions, such as additional prior authorization requirements, both in the United States and in relevant international markets in which we plan to operate, assuming we receive the necessary approvals. Third-party coverage and reimbursement for procedures using our DeepView System may not be available or adequate in either the United States or international markets. If demand for our DeepView System is adversely affected by changes in third-party reimbursement policies and decisions, it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or maintain satisfactory pricing and margins for our DeepView technology.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Manufacturers of medical devices have a history of price competition, and we can give no assurance that we will be able to achieve satisfactory prices for our DeepView System, if it is approved for commercialization. We will be subject to a number of factors on our ability to maintain satisfactory pricing and margins, including, but not limited to, payor reimbursement, sale pricing of our DeepView System, wide-spread adoption of the DeepView System at hospitals, clinics and burn centers, as well as production cost increases from third party suppliers and our contract manufacturers. For example, any decline in the amount that payors reimburse clinicians for our DeepView System could make it difficult for them to continue using, or to adopt, our device and could create additional pricing pressure for us. If we are forced to lower the price we charge for our DeepView System, our revenue and gross margins will decrease, which will adversely affect our ability to invest in and grow our business. If we are unable to maintain our sales or our prices, including during any international expansion, or if our costs increase and we are unable to offset such increase with an increase in our prices, our margins could erode. We will be subject to significant pricing pressure, which could negatively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face competition from many sources, including larger companies, and we may be unable to compete successfully.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industry that is significantly affected by the introduction of new products and technologies and other activities of industry participants. Our DeepView System will compete directly against conventional methods of wound care assessment. We will compete with manufacturers and suppliers of devices, instruments and other supplies used in connection with such conventional diagnoses. The market for these devices and instruments is highly fragmented with primary supply chains concentrated across a few larger manufacturers and distributors, such as Cobalt Product Solutions, Sanmina Corporation and Plexus Manufacturing.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of our competitors have longer, more established operating histories, and significantly greater name recognition and financial, technical, marketing, sales, distribution and other resources, which may prevent us from achieving significant market penetration. These companies may enjoy several other competitive advantages, including established relationships with clinicians who are familiar with other alternatives for wound care assessment, additional lines of products, and the ability to offer rebates or bundle products to offer greater discounts or incentives to gain a competitive advantage and established sales, marketing and worldwide distribution networks.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 primary competitive factors for companies that market new or alternative treatments and solutions in the wound care industry include acceptance by leading clinicians, patient outcomes and adverse event rates, patient experience and treatment time, ease-of-use and reliability, patient recovery time and level of discomfort, economic benefits and cost savings, intellectual property protection and the development of successful sales and marketing channels. One of the major hurdles to widespread adoption of our device will be overcoming established diagnostic patterns, which will require education of clinicians and their referral sources.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also compete with additional competitors and products outside the United States as well. Among other competitive advantages, such companies may have more established sales and marketing programs and networks, established relationships with clinicians and greater name recognition in such markets.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our current and potential competitors have established, or may establish, financial and strategic relationships among themselves or with existing or potential customers or other third parties to increase the ability of their products to address customer needs. Accordingly, it is possible that new competitors or alliances among competitors could emerge and acquire a significant market share. Existing and/or increased competition could, therefore, adversely affect our market share and/or force us to reduce the price of our products, which could have an adverse impact on our business, prospects,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continue to innovate and improve our products and services, we could lose market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markets for our products and services are characterized by changing technology and customer requirements. Changing customer requirements and the introduction of products or services or enhancements embodying new technology may render our existing DeepView System obsolete, unmarketable or competitively impaired and may exert downward pressures on the pricing of our device. One of our key competitive advantages is that we are currently the only AI-enabled wound imaging technology that translates raw physiological data/images into an output that is directly correlated to a wound healing assessment. We intend to continue to invest in technical developments in order to mitigate the impact of future competition.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critical to our success to be able to anticipate changes in technology or in industry standards, to successfully develop and introduce new, enhanced and competitive products on a timely basis, and to keep pace with technological change. This may place excessive strain on our capital resources, which may adversely impact our revenues and profitability. We cannot assure you that we will successfully develop new products or services or enhance and improve our existing products or services on a timely basis. Neither can we be certain that new products and enhanced and improved existing products will achieve market acceptance or that the introduction of new products or enhancing existing products by others, or changing customer requirements, will not render our products or services obsolete. Our inability to develop products or services that are competitive in technology and price and that meet client needs could have an adverse impact on our business, prospects, results of operations and financial condition.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receive the necessary regulatory approvals for commercialization, we will rely on third-party suppliers, including in some instances single or sole source suppliers, to provide us with certain components, sub-assemblies and finished products for our DeepView System. These components, sub-assemblies and finished products are critical and, for a small number of items, there are relatively few alternative sources of supply. For example, we primarily work with Cobalt Systems Product Solutions. We do not currently have long-term supply contracts with certain of the sole and single source suppliers of these key components, and there are no minimum purchase or payment requirements. Additionally, we believe we are not a major customer to many of our suppliers. Our suppliers may therefore give other customers’ needs higher priority than ours, and we may not be able to obtain adequate supply in a timely manner or on commercially reasonable terms. These single or sole source suppliers may be unwilling or unable to supply the necessary materials and components or manufacture and assemble our product in a reliable manner and at the levels we anticipate or at levels adequate to satisfy demand for our product. While our suppliers have generally met our demand for their products and services on a timely basis in the past, we cannot guarantee that they will in the future be able to meet our demand for such products and services, either because of acts of nature, the nature of our agreements with those suppliers or our relative importance to them as a customer, and our suppliers may decide in the future to discontinue or reduce the level of business they conduct with us.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not been qualified or obtained necessary regulatory clearances for additional suppliers for most of these components, sub-assemblies and materials. While we currently believe that alternative sources of supply may be available, we cannot be certain whether they will be available if and when we need them, or that any alternative suppliers or providers would be able to provide the quantity and quality of components and materials that we would need to manufacture and ship our products if our existing suppliers and providers were unable to satisfy our requirements.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utilize other sources, we would need to identify and qualify new providers to our quality standards and obtain any additional regulatory clearances or approvals required to change providers, which could result in manufacturing delays and increase our expenses.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that we have stable relationships with our existing suppliers, we cannot assure you that we will be able to secure a stable supply of components or materials going forward. In the event that any adverse developments occur with our suppliers, in particular for those components that are single or sole 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dependence on third parties subjects us to a number of risks that could impact our ability to manufacture our products and harm our business, including: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supply resulting from modifications to, or discontinuation of, a third party’s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or errors, reliability issues or a third party’s failure to produce components that consistently meet our quality specifications;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fluctuations due to a lack of long-term supply arrangements with our third parties for key components;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adequate supply or services in a timely manner or on commercially reasonable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and qualifying alternative third parties for the supply of components of our products in a timely manner;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third parties to comply with applicable provisions of the FDA’s QSR or other applicable laws or regulations enforced by the FDA, state, local and global regulatory authorities;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ensure the quality of products manufactured by third parties;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delays related to the evaluation and testing of products and services from alternative third parties and corresponding regulatory qualifications;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towards consolidation within the medical device manufacturing supplier industry;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by our suppliers and service providers.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resulting from any future pandemic, epidemic or other infectious disease outbreak,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require our third-party suppliers and providers to supply us with components and services that meet our specifications and other applicable legal and regulatory requirements in our agreements and contracts, and we perform incoming inspection, testing or other acceptance activities to ensure the components meet our requirements, there is a risk that these third parties will not always act consistent with our best interests, and may not always supply components or provide services that meet our requirements or in a timely manner. In addition, we cannot assure you that our suppliers have obtained and will be able to obtain or maintain all licenses, permits, clearances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receive a significant number of warranty claims or our DeepView System requires significant amounts of service after sale, our operating expenses may substantially increase and our business and financial results will be adversely affected.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our DeepView System is approved for commercialization, we intend to warrant each DeepView System against defects in materials and workmanship. We also expect to provide technical and other services beyond the warranty period pursuant to a supplemental service plan that we will sell with our DeepView System. We have no history of commercial placements from which to judge our rate of warranty claims, and we expect that the number of warranty claims we receive may increase as we scale our operations and as commercial placements age. If product returns or warranty claims are significant or exceed our expectations, we could incur unanticipated reductions in sales or additional operating expenditures for parts and service. In addition, our reputation could be damaged and our device may not achieve the level of market acceptance that we are targeting in order to achieve and maintain profitability. Unforeseen warranty exposure could negatively impact our business and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need to maintain and continuously improve the performance and reliability of our DeepView System to achieve our profitability objectives. Poor product performance and reliability could lead to clinician dissatisfaction, adversely affect our reputation and revenues, and increase our service and distribution costs and working capital requirements. In addition, software and hardware incorporated into our DeepView System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including due to the costs associated with replacing products and decreased demand for our product offering. Any of the foregoing could have a material adverse effect on our business, financial condition, prospects and results of operations.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intend to test our products prior to shipment, defects or errors could nonetheless occur. Our operating results will depend on our ability to execute and, when necessary, improve our quality management strategy and systems and our ability to effectively train and maintain our employee base with respect to quality management. The failure of our quality control systems or those of our third-party suppliers could result in problems with facility operations or preparation or provision of products. In each case, such problems could arise for a variety of reasons, including equipment malfunction, failure to follow specific protocols and procedures, problems with off-the-shelf materials, sub-assemblies, parts and other components or environmental factors and damage to, or loss of, manufacturing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demand for, and utilization of, our DeepView System and manage our inventory.</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our DeepView System is approved for commercialization, we will be required to forecast inventory needs and manufacture our DeepView System based on our estimates of future demand for, and utilization of, our device. Our ability to accurately forecast demand and utilization could be negatively affected by many factors, including our failure to accurately manage our expansion strategy, product introductions by competitors, an increase or decrease in demand for our products or for products of our competitors, our failure to accurately forecast acceptance of new products, unanticipated changes in general market conditions or regulatory matters and weakening of economic conditions or consumer confidence in future economic conditions. Inventory levels in excess of demand may result in inventory write-downs or write-offs, which would cause our gross margin to be adversely affected and could impair the strength of our brand. Conversely, if we underestimate demand and utilization, our supply chain, manufacturing partners and/or internal manufacturing team may not be able to deliver components and products to meet our requirements, and this could result in damage to our reputation and relationships with clinicians and dental practitioners. In addition, if we experience a significant increase in demand or utilization, additional supplies of off-the-shelf materials, sub-assemblies, parts and other components or additional manufacturing capacity may not be available when required on terms that are acceptable to us, or at all, or suppliers may not be able to allocate sufficient capacity in order to meet our increased requirements. We currently outsource all of our manufacturing through an original equipment manufacturer. Cobalt, located in Plano, Texas, is involved with manufacturing the current generation DeepView System and we anticipate that they will continue to do so for the foreseeable future. In addition to Cobalt, we integrate several other highly specialized contract manufacturers in the areas of optics, technology design and electronics. If any of these suppliers were unable to meet our requirements, we would need to find a replacement or supplemental supplier, which we may not be able to do on a timely basis, or at all. Any of the foregoing would materially which will adversely affect our business, financial condition, prospects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substantial growth in our operations, and we expect to experience continued substantial growth in our business. Over the next several years, we expect to significantly increase the scope of our operations, particularly in the areas of manufacturing, sales and support, research and development, product development, regulatory affairs, marketing and other functional areas, including finance, accounting, quality control, and legal.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directors and key personnel, and our business could be harmed if we are unable to attract and retain personnel necessary for our success.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depend to a significant degree on the continued services of our senior management, directors and key personnel. Their knowledge of both the market and their skills and experience are critical elements to our success. Our senior management team, directors and employees are engaged with us on an ‘at will’ basis, meaning that both they and we are able to terminate the arrangement without notice. The loss of key personnel could have an adverse impact on our business, prospects, results of operations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attract and retain highly skilled managerial, scientific and technical personnel, we may not be able to implement our business model successfully.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rely upon technical and scientific employees or third-party contractors to effectively establish, manage and grow our business. Consequently, we believe that our future viability will depend largely on our ability to attract and retain highly skilled managerial, sales, scientific and technical personnel. In order to do so, we may need to pay higher compensation or fees to our employees or consultants than we currently expect, and such higher compensation payments would have a negative effect on our operating results. Competition for experienced, high-quality personnel is intense and we cannot assure you that we will be able to recruit and retain such personnel. We may not be able to hire or retain the necessary personnel to implement our business strategy. Our failure to hire and retain such personnel could impair our ability to develop new products and manage our business effectively.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growth plans may place a significant strain on our management and operational, financial and personnel resources. In order to execute our strategy, we will need to hire additional individuals. These hires include product management, marketing and highly technical engineering roles. Furthermore, some of these hires will be in the UK and/or Europe to support our European strategy. Though we have never undertaken this level of growth, our management, including our Human Resources Manager have instituted a long-term hiring plan with key dates that ensure the individual is hired and trained months before the strategy must be executed. Furthermore, our ability to implement our strategy requires effective planning and management control systems. Therefore, our future growth and prospects will depend on our ability to manage this growth.</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significantly increase the size of our organization over the next several years. As a result, we may encounter difficulties in managing our growth, which could disrupt our operations and/or increase our net losses.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2025, we had 65 employees. Over the next several years, we expect to experience significant growth in the number of our employees and the scope of our operations, particularly in the areas of regulatory affairs, clinical and sales and marketing. There are significant expenses and risks involved with establishing our own sales, marketing and distribution capabilities. Any failure or delay in the development of our internal sales, marketing, distribution and compliance capabilities could delay any product launch, which would adversely impact the commercialization of our product. We also intend to continue to improve our operational, financial and management controls, reporting systems and procedures, which may require additional personnel. Such growth could place a strain on our administrative and operational infrastructure, and/or our managerial abilities, and we may not be able to make improvements to our management information and control systems in an efficient or timely manner. We may discover deficiencies in existing systems and controls.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of these employees will also be in countries outside of our corporate headquarters, which adds additional complexity. To manage our anticipated future growth, we must continue to implement and improve our managerial, operational and financial systems, expand our facilities and continue to recruit and train additional qualified personnel. We may not be able to effectively manage these activities. The physical expansion of our operations may lead to significant costs and may divert our management and business development resources.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and our internal computer systems may fail and such failure could negatively affect our business, financial condition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continued development, maintenance and operation of our software and technologies are important factors impacting the success of our products and level of market acceptance. These efforts are expensive and complex and may involve unforeseen difficulties, including material performance problems and undetected defects or other technical or human errors. We may encounter technical obstacles, and it is possible that we may discover additional problems that prevent our software and technologies from operating properly. If our software or technologies, individually or collectively, do not function reliably or fail to meet clinician or payor expectations of performance or outcomes, then clinicians may stop using our products and payors could attempt to cancel their contracts with us.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Proprietary software development is time-consuming, expensive and complex, and may involve unforeseen difficulties. Our software may contain errors or vulnerabilities. Any real or perceived errors, failures, bugs or other vulnerabilities discovered in our existing or new software could result in negative publicity and damage to our reputation, loss of customers, loss of or delay in market acceptance of our products, loss of competitive position, loss of revenue or liability for damages, overpayments and/or underpayments, any of which could harm our business and results of operation.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information technology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changes in the techniques used to obtain unauthorized access to data and information systems, and the information technology needs associated with any new products and services. There can be no assurance that our process of consolidating, protecting, upgrading and expanding our systems and capabilities, continuing to build security into the design of our products, and developing new systems to keep pace with continuing changes in information processing technology will be successful or that additional systems issues will not arise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rely on the proper function, security and availability of our information technology systems and data to operate our business, and a breach, cyber-attack or other disruption to these systems or data could materially and adversely affect our business, results of operations, financial condition, cash flows, reputation or competitive position.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rely on information technology systems to conduct our operations. In the ordinary course of our business, we use third parties to process and store, sensitive intellectual property and other proprietary business information. Because of this, we and our software are at risk for cyber-attacks. Cyber-attacks can result from deliberate attacks or unintentional events and may include (but are not limited to) malicious third parties gaining unauthorized access to our software for the purpose of misappropriating financial assets, intellectual property or sensitive information (such as patient data), corrupting data, or causing operational disruption.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future, we may rely on third-party vendors to supply and/or support certain aspects of our information technology systems. These third-party systems could also become vulnerable to cyber-attack, malicious intrusions, breakdowns, interference or other significant disruptions, and may contain defects in design or manufacture or other problems that could result in system disruption or compromise the information security of our own systems.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taken numerous steps to ensure the protection of our devices and technology. We regularly engage each of our employees in data protection training, have enabled two-factor authentication, and do not distribute or share data across external systems. Furthermore, we take measures to ensure that our employees who come in contact with data or patients do not violate any standards involving the HIPAA or compromise a patient’s private health information.</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that we have taken appropriate steps to protect our systems, there can be no assurance that our efforts will prevent service interruptions or security breaches in our systems or the unauthorized or inadvertent wrongful access or disclosure of confidential information that could have an adverse impact on our business, prospects, results of operations and financial condition or result in the loss, dissemination, or misuse of critical or sensitive information. If we suffer from a cyber-attack, whether by a third party or insider, we may incur significant costs (including liability for stolen assets or information) and repairing any damage caused to our network infrastructure and systems. Additionally, theft of our intellectual property or proprietary business information could require substantial expenditures to remedy. Such theft could also lead to loss of intellectual property rights through our disclosure of our proprietary business information, and such loss may not be capable of remedying. We may also suffer reputational damage and loss of investor confidence. We could also be exposed to potential financial and reputational harm if we experience a cyber-attack.</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the techniques used to obtain unauthorized access to, or to sabotage, systems change frequently and often were not recognized until launched against a target, we may be unable to anticipate these techniques or implement adequate preventative measures. We may also experience security breaches that may remain undetected for an extended period. If our systems are damaged or cease to function properly due to any number of causes, ranging from catastrophic events to power outages to security breaches, and our business continuity plans do not effectively compensate timely, we may suffer interruptions in our ability to manage operations, and would also be exposed to a risk of loss, including financial assets or litigation and potential liability. To the extent that any disruption or security breach were to result in a loss of, or damage to, our data or systems or data or systems of our commercial partners, or inappropriate or unauthorized access to or disclosure or use of confidential, proprietary, or other sensitive, personal, or health information, we could incur liability and suffer reputational harm. Failure to maintain or protect our information technology systems effectively could negatively affect our business, financial condition and results of operations.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has been a developing trend of civil lawsuits and class actions relating to breaches of consumer data held by large companies or incidents arising from other cyber-attacks. Any data security breaches, cyber-attacks, malicious intrusions or significant disruptions could result in actions by regulatory bodies and/or civil litigation, any of which could materially and adversely affect our business, results of operations, financial condition, cash flows, reputation or competitive position.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maintain certain insurance coverage, our insurance may be insufficient or may not cover all liabilities incurred by such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exceeds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artificial intelligence, including machine learning, in our analytics platforms may result in reputational harm or liability.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AI is enabled by or integrated into the predictive analytics inherent in our DeepView platforms and will continue to be a substantial element of our product offerings going forward. As with many developing technologies, AI presents risks and challenges that could affect its further development, adoption, and use, and therefore our business. AI algorithms may be flawed and continual data propagation may prove ineffective. Data sets may be insufficient, of poor quality, or contain biased information. If the analyses that AI applications assist in producing are deficient or inaccurate, we could be subjected to competitive harm, potential legal liability, and brand or reputational harm. Some uses of AI present ethical issues, and our judgment as to the ethical concerns may not be accurate. If we use AI as part of our predictive analytics in a manner that is controversial because of the purported or real impact on our business or vendors, this may lead to adverse results for our financial condition and operations or the financial condition and operations of our business, which may further lead to us experiencing competitive harm, legal liability and brand or reputational harm.</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supply products or services that are defectively designed or manufactured, or our products contain defective components or are misused, or if someone claims any of the foregoing, whether or not meritorious, we may become subject to substantial and costly litigation. Misusing our technology or failing to adhere to the operating guidelines or our device producing inaccurate or unreliable readings could cause significant harm to patients. In addition, if our operating guidelines are found to be inadequate, we may be subject to liability. Product liability claims could divert management’s attention from our core business, be expensive to defend and result in sizable damage awards against us. While we maintain product liability insurance, we may not have sufficient insurance coverage for all future claims. Any product liability claims brought against us, with or without merit, could increase our product liability insurance rates or prevent us from securing continuing coverage, could harm our reputation in the industry and could reduce revenue. Product liability claims in excess of our insurance coverage would be paid out of cash reserves harming our financial condition and adversely affecting our results of operations.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a claim or claims of a significant nature were made against us, we may be required to expend substantial management resources and litigation costs in defending such claim(s) and such claim(s), if successful, could reduce margins, harm our reputation in the market, and increase future insurance premiums, the occurrence of each of which could have an adverse impact on our business, prospects,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maintain commercial insurance at a level we believe is appropriate against certain risks commonly insured in the industry in which we operate, there is no guarantee that our insurer will cover costs or that we will be able to obtain the desired level of coverage on acceptable terms in the future. The potential costs that could be associated with any shortfall of insurance coverage may cause delays and disruptions to our operations and the additional expenditure that we may incur could affect our earnings and competitive position in the future and, potentially, our financial position. We could suffer losses that may not be fully compensated by insurance. In addition, certain types of risk may be, or may become, either uninsurable or not economically insurable, or may not be currently or in the future covered by our insurance policies. Any of the foregoing could have an adverse impact on our business, prospects,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as a U.S. public company can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algorithms depends on our significant repository of proprietary image data.</w:t>
      </w:r>
    </w:p>
    <w:p>
      <w:pPr>
        <w:spacing w:after="0" w:line="22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Over 340 billion pixels of proprietary image data have been acquired and utilized for the deep learning algorithms training. We believe this presents a significant barrier to entry to would-be competitors in wound care healing assessments. The data collection to clinical output, the flow, quality and control of the data pipeline is managed entirely by us. Our DeepView System uses deep learning on its wound data repository to recognize patterns and correlations of injured tissue spectral signatures to produce reliable and reasonable assessment for clinicians to make accurate and efficient treatment decisions.</w:t>
      </w:r>
    </w:p>
    <w:p>
      <w:pPr>
        <w:spacing w:after="0" w:line="16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developed strategic partnerships with multiple clinical and academic partners in the United States and Europe. Through our strategic partnerships with multiple clinical and academic partners, we are able to access large, diverse and specific sets of wound data inputs to develop, validate and improve our DeepView algorithms efficiently and effectively. We believe we have the pre-eminent proprietary clinical burn wound database. The depth and quality of our proprietary data is critical to developing a leading wound assessment technology with demonstrated clinical need across burn and other indications with a positive impact on health economics and patient outcomes, while safeguarding patient data and privacy. If we were no longer able to access or receive this data, it would have a material adverse effect on our business, prospects,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further seek strategic alliances, joint ventures or collaborations, or enter into licensing or partnership arrangements in the future and may not be successful in doing so, and even if we are, we may not realize the benefits or costs of such relationships.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developed strategic partnerships with multiple clinical and academic partners and, in the future, we may further form or seek strategic alliances, create joint ventures or collaborations or enter into licensing or partnership arrangements with third parties that we believe will complement or augment our sales and marketing efforts with respect to our DeepView System or future products. We may not be successful in our efforts to establish such collaborations, and we may not achieve the benefits expected from our current strategic partnerships or future collaborations. Any of these relationships may require us to incur non-recurring and other charges, indemnify the counterparty,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our products.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tour sales and marketing efforts, which would harm our business prospects, financial condition and results of operations.</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we may not have sole decision-making authority with respect to any such collaboration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averse to our best interest, and they may breach their obligations to us. In addition, we have limited control over the amount and timing of resources that our current collaborators or any future collaborators devote to our collaborators’ or our future products and technologies.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international expansion of our business occurs in future years, it will expose us to market, regulatory, political, operational, financial and economic risks associated with doing business outside of the United States.</w:t>
      </w:r>
    </w:p>
    <w:p>
      <w:pPr>
        <w:spacing w:after="0" w:line="15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long-term strategy is to increase our international presence, including securing regulatory clearances or approvals in targeted countries outside the United States. This strategy may include establishing and maintaining clinician outreach and education capabilities outside of the United States and expanding our relationships with international payors. Doing business internationally involves a number of risks, including:</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clearances, approvals, permits and licenses;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clearance, approval or certification where required for our products in various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maintain data and the processing of that data on servers located within such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required to manufacture our products locally;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foreign tax laws and complexities of foreign value-added tax systems, the effect of local and regional financial pressures on demand and payment for our products and exposure to foreign currency exchange rate fluctuations;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site-of-service for use of our products and the economics related thereto for clinicians, providers and payors;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political unrest, outbreak of disease, boycotts, curtailment of trade and other market restrictions;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subject to regulation under the United States Foreign Corrupt Practices Act of 1977, or FCPA, U.K. Bribery Act of 2010 and comparable laws and regulations in other countries.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or other intellectual property protection for any products we develop or for our technology, or if the scope of the patent and other intellectual property protection obtained is not sufficiently broad, our competitors could develop and commercialize products and technology similar or identical to ours, and our ability to successfully commercialize any products we may develop, and our technology, may be harmed.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one of our key strengths is our market leading technology, including our proprietary AI algorithms and optical technology. In order to remain competitive, we must develop, maintain, and protect the proprietary aspects of our brands, technologies, data, and products. We rely on a combination of contractual provisions, confidentiality procedures, patent, copyright, trademark, trade secret, and other intellectual property laws to protect the proprietary aspects of our brands, technologies, data, and products. These legal measures afford only limited protection, and competitors or others may gain access to or use our intellectual property and proprietary information. Any failure to obtain or maintain patent and other intellectual property protection with respect to our products could harm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color w:val="auto"/>
        </w:rPr>
        <w:t>Our technology is protected with issued and/or allowed patents across nine families of active patents: (i) Burn/Wound Classification on MSI and PPG;</w:t>
      </w:r>
    </w:p>
    <w:p>
      <w:pPr>
        <w:spacing w:after="0" w:line="27" w:lineRule="exact"/>
        <w:rPr>
          <w:sz w:val="20"/>
          <w:szCs w:val="20"/>
          <w:color w:val="auto"/>
        </w:rPr>
      </w:pPr>
    </w:p>
    <w:p>
      <w:pPr>
        <w:jc w:val="both"/>
        <w:ind w:firstLine="8"/>
        <w:spacing w:after="0" w:line="250" w:lineRule="auto"/>
        <w:tabs>
          <w:tab w:leader="none" w:pos="2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classification on MSI and PPG; (iii) Amputation site analysis on MSI, ML and healthcare matrix; (iv) DFU healing potential prediction and wound assessment on MSI, ML and healthcare matrix; (v) High-precision, multi-aperture, MSI snapshot imaging; (vi) Wound assessment based on MSI;</w:t>
      </w:r>
    </w:p>
    <w:p>
      <w:pPr>
        <w:ind w:firstLine="8"/>
        <w:spacing w:after="0" w:line="260" w:lineRule="auto"/>
        <w:tabs>
          <w:tab w:leader="none" w:pos="36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Burn/histology assessment based on MSI and ML; (viii) High-precision, single-aperture MSI snapshot imaging; and (ix) Topological characterization and assessment of tissues using MSI and ML.</w:t>
      </w:r>
    </w:p>
    <w:p>
      <w:pPr>
        <w:spacing w:after="0" w:line="1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2025, we had 13 issued and allowed U.S. patents with 5 U.S. patent applications pending. We had 21 issued and allowed international patents with 23 foreign and international patent applications pending. We protect our DeepView System trademarks primarily in four classes: pre-recorded/downloadable software, surgical, medical apparatus, computer and scientific services and medical and healthcare services. As of December 31, 2025, we maintain a portfolio of 47 trademarks and 11 trademark applications pending relating to our DeepView and SnapShot product offerings. Our trademarks and pending trademark applications are spread over nine jurisdictions mostly in China, the UK and the EU. It is our intention to maintain these registrations indefinitely and to expand the number of jurisdictions in which we have registered trademarks as deemed necessary to protect our freedom to use the marks and/or block competitors in additional markets. We will continue to primarily focus on protecting our intellectual property in the United States, UK and the EU as those are the first commercial markets for our products.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cannot assure you that our intellectual property position will not be challenged or that all patents for which we have applied will be granted. As with other medical device companies, our success depends, in part, on our ability to obtain, maintain, expand, enforce, and defend the scope of our intellectual property portfolio or other proprietary rights, including the amount and timing of any payments we may be required to make in connection with the licensing, filing, maintaining, defense and enforcement of any patents or other intellectual property rights. The process of applying for and obtaining a patent is expensive, time-consuming and complex,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such agreements and disclose such output before a patent application is filed, thereby jeopardizing our ability to seek and obtain patent protection.</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products or research and development results before it is too late to obtain patent protection. While the imaging modality — SnapShot MSI system and proprietary illumination system — are patent protected, our AI algorithm used in the system is not patent protected. The device performance is supported by the proprietary clinical data owned by Spectral. The loss or disclosure of both the data and the algorithm could be detrimental to the future development and competitive advantage of our DeepView System.</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 Despite our efforts to protect our proprietary rights, unauthorized parties may be able to obtain and use information that we regard as proprietary. In addition, the issuance of a patent is not conclusive as to its inventorship, validity or enforceability, and our patents may be challenged in the courts or patent offices in the United States and abroad, so even if we obtain patents, they may not provide us with adequate proprietary protection or competitive advantage against our competitors with similar products. Our patent applications may not result in issued patents and our patents may not be sufficiently broad to protect our technology or to prevent competitive technologies. In addition, the laws of foreign jurisdictions may not protect our rights to the same extent as the laws of the United States. For example, certain countries outside of the United States do not allow patents for methods of treating the human body. This may preclude us from obtaining method patents outside of the United States having similar scope to those we have obtained or may obtain in the future in the United States. Changes in either the patent laws or their interpretation in the United States and other countries may diminish our ability to protect our inventions, obtain, maintain, and enforce our intellectual property rights and, more generally, could affect the value or validity of our intellectual property or narrow the scope of our patent protection.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Moreover, even if we are able to obtain patent protection, such patent protection may be of insufficient scope to achieve our business objectives. The strength of patent rights generally, and particularly the patent position of medical device companies, involves complex legal, factual and scientific questions and can be uncertain, and has been the subject of much litigation in recent years. This uncertainty includes changes to the patent laws through either legislative action to change statutory patent law or court action that may reinterpret existing law or rules in ways affecting the scope or validity of issued patents. Even if patents are successfully issued from our patent applications, third parties may challenge the validity, enforceability, or scope of such patents, which may result in such patents being narrowed, invalidated, or held unenforceable. Decisions by courts and governmental patent agencies may introduce uncertainty in the enforceability or scope of patents owned by or licensed to us. Furthermore, the issuance of a patent does not give us the right to practice the patented invention. Third parties may also have blocking patents that could prevent us from marketing our own products and practicing our own technology. We may not be aware of all third-party intellectual property rights (for example, not be aware of a patent or not be aware of a patent’s scope) potentially relating to our products, product candidates or their intended uses, and as a result the impact of such third-party intellectual property rights upon the patentability of our own patents and patent applications, as well as the impact of such third-party intellectual property upon our ability to market our products without infringing third party patent rights, is highly uncertain. We cannot ensure that we do not infringe any patents or other proprietary rights held by others. If our products were found to infringe any proprietary right of another party, we could be required to pay significant damages or license fees to such party and/or cease production, marketing and distribution of those products.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Litigation may also be necessary to defend infringement claims of third parties or to enforce patent rights we hold or protect trade secrets or techniques we own. Further,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success will also depend, in part, on preserving our trade secrets, maintaining the security of our data and know-how, and obtaining and maintaining other intellectual property rights. We rely on trade secret protection and confidentiality agreements for strategic purposes, to protect proprietary know-how that is not patentable,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There can be no assurances that we can meaningfully protect or maintain intellectual property, trade secrets or other unpatented proprietary rights necessary to our business or in a form that provides us with a competitive advantage, or that others will not independently develop substantially equivalent proprietary products or processes or otherwise gain access to our proprietary technology. In addition, our trade secrets, data, and know-how could be subject to unauthorized use, misappropriation, or disclosure to unauthorized parties, despite our efforts to enter into confidentiality agreements with our employees, consultants, clients, and other vendors who have access to such information, and could otherwise become known or be independently developed or discovered by third parties. Our intellectual property, including trademarks, could be challenged, invalidated, infringed, and circumvented by third parties, and our trademarks could also be diluted, declared generic or found to be infringing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 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spacing w:after="0" w:line="19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products or any future products we may develop. The acquisition or licensing of third-party intellectual property rights is a competitive area, and our competitors may pursue strategies to acquire or license third-party intellectual property rights that we may consider attractive or necessary, and our competitors could market competing products and technology.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 and our customers may be forced to stop using the relevant product, which could harm our business, financial condition, prospects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be a party to intellectual property litigation or administrative proceedings that are very costly and time-consuming and could interfere with our ability to sell and market our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medical device industry is highly competitive and has been characterized by extensive litigation regarding patents, trademarks, trade secrets, and other intellectual property rights, and companies in the industry have used intellectual property litigation to gain a competitive advantage. It is possible that U.S. and foreign patents, along with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(or components thereof) or to use our technologies or our product names.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Third parties, including our competitors, may currently have patents or obtain patents in the future and claim that the manufacture, use or sale of our products infringes these patents. We have not conducted an extensive search of patents issued or assigned to other parties, including our competitors, and no assurance can be given that patents containing claims relating to our products, parts of our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that may result in issued patents that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time-consuming, costly to defend, divert management’s attention and resources, damage our reputation and brand and cause us to incur significant expenses or make substantial payments. Vendors from which we purchase hardware or software may not indemnify us in the event that such hardware or software is accused of infringing a third-party’s patent or trademark or of misappropriating a third-party’s trade secret.</w:t>
      </w:r>
    </w:p>
    <w:p>
      <w:pPr>
        <w:spacing w:after="0" w:line="1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we cannot be certain that we were the first to file any patent application related to our products. Competitors may also contest our patents in court, at an administrative agency, or at the patent office, if issued, by proving that the invention was not original, was not novel, was obvious, or was obtained without disclosing all pertinent material prior art information to the patent office, among other reasons. For example, in litigation, a competitor could claim that our patents, if issued, are not valid for a number of reasons or are unenforceable due to inequitable conduct. If a court agreed, we would lose our rights to those challenged patents.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and consultants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if third party claims of patent or trademark infringement or trade secret misappropriation are successfully asserted against us, such claims may harm our business, result in injunctions preventing us from selling our products, and require payment of license fees, damages, attorneys’ fees, and court costs, which may be substantial and have a material adverse impact on our business. In addition, if we are found to have willfully infringed third-party patents or trademarks or to have misappropriated trade secrets, we could be required to pay treble damages in addition to other penalties. Although patent, trademark, trade secret, and other intellectual property disputes in the medical device area have often been settled through licensing or similar arrangements, costs associated with such arrangements may be substantial and could include ongoing royalties that may substantially erode our margins. Further, we may be unable to obtain necessary licenses on satisfactory terms, if at all. If we do not obtain necessary licenses, we may not be able to redesign our products to avoid infringement, and as such may need to stop selling the infringing products, which would have a significant adverse impact on our business, financial condition, prospects and results of operations.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Similarly, interference, derivation, cancellation, and opposition proceedings provoked by third parties or brought by the U.S. Patent and Trademark Office (USPTO) may be necessary to determine priority with respect to our patents, patent applications, trademarks, or trademark applications. We may also become involved in other proceedings, such as reexamination, inter partes review, post-grant review, derivation, interference, supplemental examination, cancellation or opposition proceedings before the USPTO or other jurisdictional body relating to our intellectual property rights or the intellectual property rights of others. Such challenges may result in loss of exclusivity or ability to make, use, and sell our products without infringing third-party intellectual property rights, or in patent claims being narrowed, invalidated or held unenforceable, in whole or in part, which could limit our ability to stop others from using or commercializing similar or identical products and techniques without payment to us, or limit the duration of the patent protection of our technology. Adverse determinations in a judicial or administrative proceeding or failure to obtain necessary licenses or rights could prevent us from using, selling, manufacturing, or importing our products or using product names, which would have a significant adverse impact on our business, financial condition, prospects and results of operations.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Additionally, we may file lawsuits or initiate other proceedings to protect or enforce our patents, trademarks, or other intellectual property rights, which could be expensive, time consuming and unsuccessful. Former, current, or future licensees may violate the terms of their licenses and thereby infringe our intellectual property. Competitors may infringe our issued patents, trademarks, or other intellectual property. To counter infringement or unauthorized use by licensees, competitors, or other parties, we may be required to file infringement or misuse claims, which can be expensive and time-consuming. Any claims we assert against perceived infringers could provoke these parties to assert counterclaims or file administrative actions against us alleging that we infringe their intellectual property.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Furthermore, even if our patents or trademarks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an adverse result in any litigation proceeding or administrative action could put one or more of our patents at risk of being invalidated or interpreted narrowly, which could adversely affect our competitive business position, financial condition, and results of operations. In addition, although we make efforts to comply with the patent marking provisions of 35 U.S.C. § 287(a), a court may decide that we have not met the requirements of the patent marking statute, which may prevent us from obtaining monetary damages that would otherwise have been due to us if we had complied with the marking statute.</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Protracted litigation to defend or prosecute our intellectual property rights could also result in our customers or potential customers deferring or limiting their purchase or use of the affected products until resolution of the litigation. In addition, there could be public announcements of the results of hearings, motions or other interim proceedings or developments and if securities analysts or investors perceive these results to be negative, it could have a substantial negative impact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harm our business, financial condition, prospects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third parties may assert infringement claims against our customers. These claims may require us to initiate or defend protracted and costly litigation on behalf of our customers or indemnify our customers for any costs associated with their own initiation or defense of infringement claims,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intellectual property, including patent protection, depends on compliance with various procedural, document submission, fee payment and other requirements imposed by governmental agencies, and our intellectual property, including patent protection, could be reduced or eliminated for non-compliance with these requirements.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USPTO, United States Copyright Office (USCO) and various foreign governmental agencies require compliance with a number of procedural, documentary, fee payment and other similar provisions during the application process. In addition, periodic maintenance fees, renewal fees, annuity fees and various other government fees often must be paid to the USPTO, USCO and foreign agencies over the lifetime of any registered or applied-for intellectual property rights we may obtain in the future. While an unintentional lapse of an intellectual property registration or application can in many cases be cured by payment of a late fee or by other means in accordance with the applicable rules, there are situations in which noncompliance can result in abandonment or lapse of the registration or application, resulting in partial or complete loss of intellectual property rights in the relevant jurisdiction. Non-compliance events that could result in abandonment or lapse of a registration or application include, but are not limited to, failure to respond to official actions within prescribed time limits, non-payment of fees and failure to properly legalize and submit formal documents. If we fail to maintain the intellectual property registrations and applications covering our products, we may not be able to stop a competitor from developing or marketing products that are the same as or similar to our products, which would have a material adverse effect on our business. We also have a duty to disclose to the USPTO any prior art known to us that may be material to the patentability of our patents. If we fail to submit any such material prior art, a court or administrative agency may deem one or more of our patents unenforceable.</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certain of our patent applications relate to software inventions. Software-related patents in general are susceptible to validity or patentability challenges before the USPTO or in other judicial or quasi-judicial proceedings for being directed to non-statutory subject matter under 35 U.S.C. § 101.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utility patent is generally 20 years from its earliest non-provisional filing date in the applicable country. However, the actual protection afforded by a patent varies from country to country, and depends upon many factors, including the type of patent, the scope of its coverage, voluntary disclaimer of patent term to obtain a patent’s allowance, the availability of regulatory-related extensions, the availability of legal remedies in a particular country and the validity and enforceability of the patent. Various extensions may be available, but the life of a patent, and the protection it affords, is limited. Even if patents covering our products are obtained, once the patent life has expired, we may be open to competition from competitive products, which may harm our business prospects.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although upon issuance in the United States a patent’s term can be extended based on certain delays caused by the USPTO, this extension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terms to protect our products, proprietary technologies and their uses, our business would be seriously harmed.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or its interpretation could diminish the value of patents in general, thereby impairing our ability to protect our existing and future products.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patent applications and the enforcement or defense of issued patents. In 2011, the Leahy-Smith America Invents Act (the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products or invent any of the inventions claimed in our patents or patent applications.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Leahy-Smith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prospects and results of operations.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 rights and other intellectual property may be subject to priority, ownership or inventorship disputes, interferences, and similar proceedings.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interest in our patents and patent applications or other intellectual property as an inventor or co-inventor. If we are unable to obtain an exclusive license to any such third-party co-owners’ interest in such patents and patent applications, such co-owners’ rights may be subject, or in the future subject, to assignment or license to other third parties, including our competitors. In addition, we may need the cooperation of any such co-owners to enforce any such patents and any patents issuing from such patent applications against third parties, and such cooperation may not be provided to us.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to us are ineffective or in conflict with prior or competing contractual obligations to assign inventions to another employer, to a former employer, or to another person or entity, despite our inclusion of valid, present-tense intellectual property assignment obligations. Litigation may be necessary to defend against claims, and it may be necessary or we may desire to enter into a license to settle any such claim.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 candidates. Even if we are successful in priority, inventorship or ownership disputes, it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prospects and results of operations.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advisors, or contractors have misappropriated the intellectual property of a third party, including trade secrets or know-how, or are in breach of a non-competition or non-solicitation agreement with our competitors, and third parties may claim an ownership interest in intellectual property we regard as our own. Such claims could harm our business, financial condition, prospects and results of operations.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is common in the medical device industry, our employees, consultants, and advisors may be currently or previously employed or engaged at universities or other medical device or healthcare companies, including our competitors and potential competitors. Some of these employees, consultants, advisors, and contractors may have executed proprietary rights, non-disclosure, and non-competition agreements in connection with such previous employment. Although we try to ensure that our employees, consultants, advisors, and contractors do not use the intellectual property, proprietary information, know-how or trade secrets of others in their work for us, we may in the future become subject to claims that we or these individuals have, inadvertently or otherwise, misappropriated the intellectual property, including trade secrets or other proprietary information, of their current or former employers, competitors or other third parties. Also, we may in the future be subject to claims that these individuals are violating non-compete agreements with their former employers. Litigation may be necessary to defend against these claims. If we fail to defend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vendors,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may be ineffective under current or future case law, or the assignment agreements may be breached, and we may be forced to bring claims against third parties, or defend claims that they may bring against us, to determine the ownership of what we regard as our intellectual property. Such defects in assignment or resulting claims could harm our business, financial condition, prospects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validly execute invention assignment agreements with our employees and contractors involved in the development of intellectual property or are unable to protect the confidentiality of our trade secrets and other proprietary information, the value of our products, the value of our business and competitive position may be harmed.</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know-how, and other confidential and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generally have confidentiality and invention assignment provisions in contracts with our employees, consultants, suppliers, contract manufacturers, collaborators, and others upon the commencement of their relationship with us. However, we may not enter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confidential or proprietary information. There can be no assurance that such third parties will not breach their agreements with us, that we will have adequate remedies for any breach, or that our trade secrets or proprietary technology and processes will not otherwise become known or independently developed by competitors.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Despite the protections we place on our intellectual property or other confidential and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the extent our intellectual property or other proprietary information protection is incomplete, we are exposed to a greater risk of direct competition. A third-party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research and development or acquisitions could be reduced, and third parties might make claims against us related to losses of their confidential or proprietary information. Any of the foregoing could materially and adversely affect our business, financial condition, prospects and results of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Unauthorized parties may also attempt to copy or reverse engineer certain aspects of our products that we consider proprietary.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 Even though we use commonly accepted security measures, trade secret violations are often a matter of state law, and the criteria for protection of trade secrets can vary among different jurisdictions.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such breach.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current or future products or trademarks, and our patents, trademarks or other intellectual property rights may not be effective or sufficient to prevent them from competing.</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foreign jurisdictions. The legal systems of certain countries, particularly certain developing countries, may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 rights in foreign jurisdictions could result in substantial costs and divert our efforts and attention from other aspects of our business, could put our patents and trademarks at risk of being invalidated or interpreted narrowly, and could provoke third parties to assert claims against us. We may not prevail in any lawsuits that we initiate, and the damages or other remedies awarded, if any, may not be commercially meaningful. In addition, certain countries in Europe and many other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rely on trademarks and trade names to build brand recognition and to promote, distinguish and market our products and services. Our current or future registered and unregistered trademarks or trade names may be challenged, opposed, infringed, circumvented or declared generic or descriptive, determined to be not entitled to registration, or determined to be infringing other marks. We may not be able to protect our rights to these trademarks and trade names or may be forced to stop using these names or logos,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If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in the future license our trademarks and trade names to third parties.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and service marks may be ineffective and could result in substantial costs and diversion of resources and could adversely affect our financial condition or results of operations.</w:t>
      </w:r>
    </w:p>
    <w:p>
      <w:pPr>
        <w:spacing w:after="0" w:line="19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Trademark litigation can be expensive, and the outcome can be highly uncertain.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the use of such trademarks.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such technology, or if we are forced to license such technology, on unfavorable terms, our business could be harmed. If we are unable to obtain a necessary license, we may be unable to develop or commercialize the affected product candidates, which could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thereby giving our competitors access to the same technologies licensed to us.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some of our patents and patent applications in the future may be jointly owned with third parties. If we are unable to obtain an exclusive license to any such third-party joint owners’ interest in such patents or patent applications, such joint owners may be able to license their rights to other third parties, including our competitors, who could market competing products and technology. In addition, we may need the cooperation of any such joint owners in order to enforce such patents against third parties, and such cooperation may not be provided to us. Any of the foregoing could harm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do not respect our intellectual property and trade secrets and produce or sell competitive products using our designs or intellectual property, our business, financial condition, prospects and results of operation would be harmed.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our agreements with third-party manufacturing partners generally seek to preclude them from misusing our intellectual property and trade secrets, or using our designs to manufacture products for our competitors, we may be unsuccessful in monitoring and enforcing our intellectual property rights and may find counterfeit goods in the market being sold as our products and any future products similar to ours produced for our competitors using our intellectual property. Additionally, any steps to stop counterfeits may not be successful and customers who purchase these counterfeit goods may experience product defects or failures, harming our reputation and brand and causing us to lose future sales. Any of the foregoing could harm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and limitations in intellectual property rights could harm our business, financial condition, prospects and results of operations.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products or utilize similar technology but that are not covered by the claims of our patents or that incorporate certain technology in our products that is in the public domain;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the applicable issued patent or pending patent application that we own now or may own or license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certain of our or their inventions;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may fail to meet our obligations to the U.S. government regarding any future patents and patent applications funded by U.S. government grants, leading to the loss or unenforceability of patent rights;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patents or patent applications omit individuals who should be listed as inventors or include individuals that should not be listed as inventors, which may cause these patents or patents issuing from these patent applications to be held invalid or unenforceable;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of our patents or patent applications, if and when issued, may not cover our products or technologies or competitive products or technologies;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patents or patent applications may become involved with competitors, develop products or processes that design around our patents, or become hostile to us or the patents or patent applications on which they are named as inventors;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intellectual property.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 foregoing could harm our business, financial condition, prospects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contracts with BARDA and DHA may affect our intellectual property rights.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contracts with BARDA and DHA include provisions that implement the Bayh-Dole Act of 1980 relating to a uniform patent policy among the many federal agencies funding research, which grants the U.S. government certain rights in inventions that may be conceived or first actually reduced to practice under the contract. In particular, pursuant to the Federal Acquisition Regulations which governs executive agencies acquisition of services with appropriated funds, the U.S. government is granted a nonexclusive, nontransferable, irrevocable, paid-up, worldwide license to practice such inventions or have such inventions practiced for or on behalf of the U.S. government. In addition to our intellectual property rights, the BARDA and DHA contracts each provide certain data rights to the U.S. government with unlimited rights in: (i) data first produced in the performance of this contract; (ii) form, fit, and function data delivered under the contract; (iii) data delivered under this contract (except for restricted computer software) that constitute manuals or instructional and training material for installation, operation, or routine maintenance and repair of items, components, or processes delivered or furnished for use under this contract; and (iv) all other data delivered under this contract unless provided otherwise for limited rights data or restricted computer software.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our securities will continue to be listed on Nasdaq. If any of our securities are delisted from trading on its exchange and we are not able to list our securities on another national securities exchange, we expect such securities could be quoted on an over-the-counter market. If this were to occur, we could face significant material adverse consequences, including:</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are a “penny stock” which will require brokers trading in our Common Stock to adhere to more stringent rules and possibly result in a reduced level of trading activity in the secondary trading market for our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Charter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Charter provides that unless we consent in writing to the selection of an alternative forum,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or proceeding brought on behalf of the Company, (ii) any action, suit or proceeding asserting a claim of breach of a fiduciary duty owed by any current or former director, officer or other employee, agent or stockholder of the Company to the Company or to the Company’s stockholders, (iii) any action, suit or proceeding asserting a claim against the Company, its current or former directors, officers, or employees, agents or stockholders arising pursuant to any provision of the DGCL or our Charter or Bylaws, or (iv) any action, suit or proceeding asserting a claim against the Company, its current or former directors, officers, or employees, agents or stockholders governed by the internal affairs doctrine.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exclusive forum provision set forth above does not apply to, and does not preclude or contract the scope of, either (i) exclusive federal jurisdiction pursuant to Section 27 of the Exchange Act for claims seeking to enforce any liability or duty created by the Exchange Act or the rules and regulations thereunder, or any other claim for which the U.S. federal courts have exclusive jurisdiction, or (ii) concurrent jurisdiction under Section 22 of the Securities Act for federal and state courts over all claims seeking to enforce any liability or duty created by the Securities Act or the rules and regulations thereunder. Our stockholders will not be deemed to have waived our compliance with the federal securities laws and the rules and regulations thereunder.</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and increase the cost of,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any bank in which we deposit our funds could have an adverse effect on our financial condition.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deposit substantial funds in financial institutions and may, from time to time, maintain cash balances at such financial institutions in excess of the Federal Deposit Insurance Corporation limit. Should one or more of the financial institutions at which deposits are maintained fail, there is no guarantee as to the extent that we would recover the funds deposited, whether through Federal Deposit Insurance Corporation coverage or otherwise, or the timing of any recovery.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Ownership of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Common Stock and Warrants may be volatile.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Fluctuations in the price of the Company’s securities could contribute to the loss of all or part of your investment. The valuation ascribed to the Company in the Business Combination may not be indicative of the price that will prevail in the trading market. If an active market for our securities develops and continues, the trading price of the Company’s securities could be volatile and subject to wide fluctuations in response to various factors, some of which are beyond our control. Any of the factors listed below could have a material adverse effect on your investment in our securities and the Company’s securities may trade at prices significantly below the price you paid for them. In such circumstances, the trading price of our securities may not recover and may experience a further decline.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affecting the trading price of the Company’s securities may include:</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the Company’s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failing to meet the expectations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the Company or the industry in which the Company operates in general;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market new and enhanced products and services on a timely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Company’s Common Stock available for public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Company’s board or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the Company’s Common Stock by our directors, executive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changes in interest rates, changes in fuel prices, international currency fluctuations and acts of war or terrorism.</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specifically, have experienced extreme volatility that has often been unrelated to the operating performance of particular companies. As a result of this volatility, our investors may not be able to sell your securities at or above the price at which they were acquired. A loss of investor confidence in the market for the stocks of other companies which investors perceive to be similar to the Company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laws, regulations and rules enacted by national, regional and local governments and the Nasdaq Stock Market. In particular, the Company is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Company’s business, investments and results of operations. In addition, a failure to comply with applicable laws, regulations or rules, as interpreted and applied, could have a material adverse effect on Company’s business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the Company to provide reliable financial reports and, together with adequate disclosure controls and procedures, are designed to prevent fraud. Any failure to implement required new or improved controls, or difficulties encountered in their implementation could cause the Company to fail to meet its reporting obligations. In addition, any testing by the Company conducted in connection with Section 404 (“Section 404”) of the Sarbanes-Oxley Act of 2002, as amended (“SOX”) or any subsequent testing by the Company’s independent registered public accounting firm, may reveal deficiencies in the Company’s internal controls over financial reporting that are deemed to be material weaknesses or that may require prospective or retroactive changes to the Company’s financial statements or identify other areas for further attention or improvement. Inferior internal controls could also cause investors to lose confidence in the Company’s reported financial information, which could have a negative effect on the trading price of the Company’s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as long as the Company is an emerging growth company or a non-accelerated filer, its independent registered public accounting firm will not be required to attest to the effectiveness of its internal controls over financial reporting pursuant to Section 404. An independent assessment of the effectiveness of the Company’s internal controls over financial reporting could detect problems that the Company’s management’s assessment might not detect. Undetected material weaknesses in the Company’s internal controls over financial reporting could lead to restatements of the Company’s consolidated financial statements and require the Company to incur the expense of remediation.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is not able to comply with the requirements of Section 404 in a timely manner or it is unable to maintain proper and effective internal controls over financial reporting may not be able to produce timely and accurate consolidated financial statements. As a result, the Company’s investors could lose confidence in its reported financial information, the market price of the Common Stock could decline, and the Company could be subject to sanctions or investigations by the SEC or other regulatory authorities.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currently do not meet all of the standards contemplated by Section 404 of SOX, and 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 In the future, our disclosure controls and procedures may not prevent or detect all errors or acts of fraud.</w:t>
      </w:r>
    </w:p>
    <w:p>
      <w:pPr>
        <w:spacing w:after="0" w:line="18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As a public company, we are subject to certain reporting requirements of the Exchange Act and have significant requirements for enhanced financial reporting and internal controls.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maintain appropriate internal financial reporting controls and procedures, it could cause us to fail to meet our reporting obligations on a timely basis, result in material misstatements in our consolidated financial statements, and harm our operating results.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a simple error or mistake. Additionally, controls can be circumvented by the individual acts of some people, by collusion of two or more people or by an unauthorized override of the controls. Accordingly, because of the inherent limitations in our control system, misstatements or insufficient disclosures due to error or fraud may occur and not be detected. In addition, we are required, pursuant to Section 404 of the Sarbanes–Oxley Act of 2002, as amended (“SOX”), to furnish a report by management on, among other things, the effectiveness of our internal control over financial reporting in our Annual Report on Form 10-K. This assessment includes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As an emerging growth company or a non-accelerated filer, our independent registered public accounting firm will not be required to formally attest to the effectiveness of our internal control over financial reporting pursuant to Section 404 until our annual report for any fiscal year following such date that we are no longer an emerging growth company. If we are not able to maintain the requirements of Section 404 of SOX in a timely manner or with adequate compliance, our independent registered public accounting firm may not be able to certify as to the adequacy of our internal controls over financial reporting. Additionally, when required, 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 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consolidated financial statements. Confidence in the reliability of our consolidated financial statements also could suffer if we or our independent registered public accounting firm report a material weakness in our internal controls over financial reporting. In connection with the preparation of our consolidated financial statements for the year ended December 31, 2025, we identified material weaknesses in our internal control over financial reporting related to deficiencies in our controls over the accounting for complex equity arrangements, financial statement close process and in the design and operation of internal controls involving accruals and unbilled revenue.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implemented, and are continuing to implement, measures designed to improve our internal control over financial reporting to remediate these material weaknesses. These measures include formalizing our processes and internal control documentation, strengthening supervisory reviews by our financial management, engaging financial consultants to enable the implementation of internal control over financial reporting, and enhancing the functionality of our enterprise resource planning system to support certain key financial processes and controls and enforce certain segregation of duties through automation and approval workflows. We expect to incur additional costs to remediate the control deficiencies identified, though there can be no assurance that our efforts will be successful or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 Our internal resources and personnel may in the future be insufficient to avoid accounting errors and there can be no assurance that we will not have additional material weaknesses in the future. Any failure to develop or maintain effective controls or any difficulties encountered implementing required new or improved controls could harm our operating results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Nasdaq.</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us, or if they issue unfavorable commentary about us or our industry or downgrade our Common Stock, the price of our Common Stock could decline.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third-party securities analysts publish about us and the industries in which we operate. We may be unable or slow to attract new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or the perception of sales, of our common stock by us or our existing stockholders in the public market could cause the market price for our common stock to decline.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expiration or waiver of certain lock-up restrictions, shares held by certain of our stockholders will be eligible for resale, subject to, in the case of certain stockholders, volume, manner of sale and other limitations under Rule 144. As restrictions on resale end, the market price of shares of our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shares of our Common Stock reserved for future issuance under the Spectral AI, Inc. 2023 Equity Incentive Plan are eligible for sale in the public market once those shares are issued, subject to provisions relating to various vesting agreements, lock-up agreements and, in some cases, limitations on volume and manner of sale by affiliates under Rule 144, as applicable. The number of shares reserved for future issuance under the Equity Incentive Plan as of December 31, 2025, was 3,730,684 shares.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are exercisable for Company Common Stock, which would increase the number of shares eligible for resale in the public market and result in dilution to our stockholders.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Outstanding warrants to purchase an aggregate of 8,433,333 shares of Common Stock are exercisable in accordance with the terms of the Warrant Agreement governing those securities. Each warrant originally entitled the registered holder to purchase one share of Common Stock at a price of $11.50 per full share. In November 2024, the Company reduced the exercise price from $11.50 per full share to $2.75 per full share. Pursuant to the Warrant Agreement, a holder of Warrants may exercise its Warrants only for a whole number of shares. This means that only a whole warrant may be exercised at any given time by a holder of Warrants. To the extent such warrants are exercised, additional shares of the Common Stock will be issued, which will result in dilution to the holders of the Common Stock and increase the number of shares eligible for resale in the public market. Sales of substantial numbers of such shares in the public market or the fact that such warrants may be exercised could adversely affect the market price of the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Management and Strategy</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manages cybersecurity risk as part of our overall enterprise risk management strategy, which is overseen by the Audit Committee and the Board. The Company employs robust cybersecurity and data privacy programs to assess, identify and manage material risks from cybersecurity threats.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constantly evolving our cyber defenses to minimize impacts from cyber threats by using a multi-pronged approach that helps safeguard our assets and data. We are particularly focused on addressing emerging cybersecurity risks, including human risk, as phishing attacks remain one of the most common causes of data breaches; third-party supply chain risks, as threat actors continue to target supply chains to compromise a greater number of victims; and geopolitical risk, as tensions and conflicts around the world are often accompanied by an increase in sabotage, espionage and cyber-attacks. As threat actors frequently target employees to gain access to information and systems, we have a comprehensive human risk management program that educates our workforce on threats they face as a first line of defense, and includes elements addressing phishing, malware, data handling, device security, cybersecurity education, password security, internet browsing and defenses to physical threats. Our employees are exposed to cybersecurity awareness training and training to keep pace with industry standards, evolving challenges and innovative solutions with respect to information security, data privacy, and cybersecurity risks to the organization. Additionally, we employ a multi-layered approach in our application of cybersecurity technologies to help safeguard our systems, networks, and data from potential cybersecurity threats.</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support our preparedness, we have a cybersecurity incident response plan (“CIRP”) that we regularly update as business needs and the security landscapes change. In the event of a cybersecurity incident, our incident response team refers to our CIRP and existing management internal controls and disclosure processes. Pursuant to this process, designated personnel are responsible for assessing the severity of the incident and any associated threats, containing and resolving the incident as quickly as possible, managing any damage to the Company’s systems and networks, minimizing the impact on the Company’s stakeholders, analyzing and executing upon internal reporting obligations, escalating information about the incident to senior management, as appropriate, and performing post-incident analysis and program enhancements, as needed. We perform periodic tabletop exercises annually to test our incident response procedures, identify gaps and improvement opportunities and exercise team preparedness.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that third parties that provide services to the Company can be subject to cybersecurity incidents that could impact the Company. To manage third-party risk, we maintain a third-party risk management program, which is designed to assess the security controls of our third parties. The assessment methodology is based on risk and relies on the data, access, connectivity, and criticality of the services that the third-party offers.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maintain relationships with legal counsel to inform our cybersecurity and data privacy programs.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and through the date of this filing, we are not aware of any material cybersecurity incidents that have impacted the Company. We face risks of incidents, whether through cyber-attacks or cyber intrusions through the Cloud, the Internet, phishing attempts, ransomware and other forms of malware, computer viruses, email attachments, extortion, and other scams. Although we make efforts to maintain the security and integrity of our information technology systems, these systems and the proprietary, confidential and personal information that resides on or is transmitted through them, are subject to the risk of a cybersecurity incident or disruption, and there can be no assurance that our security efforts and measures, and those of our third-party vendors, will prevent breakdowns or incidents to our or our third-party vendors’ systems that could adversely affect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cybersecurity and data privacy programs are implemented and overseen by the Company’s designated director of information systems (“IT Director”) and senior management. The information security team responsible for managing and implementing the Company’s cybersecurity and data privacy programs has many years of valuable business experience managing risks from cybersecurity threats and data privacy breaches and developing and implementing cybersecurity and data privacy policies and procedures.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Audit Committee, which consists solely of independent directors, oversees the Company’s overall enterprise risk assessment and risk management policies and guidelines, including risks related to cybersecurity matters. Our Audit Committee reviews, discusses with management and oversees the Company’s information security and data protection programs. In particular, the Audit Committee receives periodic updates from the IT Director, internal audit function and other members of management on significant cybersecurity and data privacy threats to our systems and the potential impact on the Company’s business, financial results, operations, and reputation, risk management strategies, including information governance and security policies and programs, program assessments, planned improvements, major legislative and regulatory developments that could materially impact the Company’s cybersecurity and data privacy policies and programs, and status of information security initiatives, including an appropriate threat assessment relating to information technology risks. The Board also receives similar cybersecurity updates directly from the IT Director and other members of management at least annually, and as needed from time to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maintain our executive offices, which are located at 2515 McKinney Avenue, Suite 1000, Dallas, TX 75201. The cost for this space is approximately $105,000 per month. We also maintain an office space in the United Kingdom at Orion House, Bessemer Road, Welwyn Garden City, Herts Al7 1HH. The cost for this space is $14,000 per month. We consider our current office space adequate for our current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or pending claims. The Company is aware of a material threatened claim that it believes is without merit. From time to time, the Company may be subject to various legal proceedings and claims that arise in the ordinary course of its business activities. To our knowledge, there is not any material legal proceeding threatened against any of our officers or directors in their corporate capacity.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Business Combination, our Common Stock began trading on Nasdaq on September 12, 2023. The shares of Common Stock and our redeemable warrants trade on Nasdaq under the symbols “MDAI” and “MDAIW”,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23, 2025, there were at least 8,000 holders of record of 31,823,895 shares of our Common Stock and at least 12 holders of record of our redeemable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not declared or paid any dividends on our capital stock to date. We anticipate that we will retain all of our future earnings, if any, for use in the operation and expansion of our business and do not anticipate paying cash dividends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deems relevant.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2025, we awarded options and restricted stock units to key employees (including our named executive officers) for retention, engagement and bonus compensation awards. These awards are designed to align a portion of our named executive officers’ compensation with the interests of our existing stockholders and to build retention value by incentivizing our named executive officers to remain in our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Long Term Incentive Plan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May 14, 2024, the Company’s shareholders approved the adoption of the 2023 Long Term Incentive Plan (the “2023 Plan”) which permits granting of incentive stock options (they must meet all statutory requirements), non-qualified stock options, stock appreciation rights, restricted stock, stock units, performance shares, performance units, incentive bonus awards, and other cash-based or stock-based awards. The options, restricted stock units and other securities issued pursuant to previous plans were replaced with a corresponding award to be issued pursuant to the 2023 Plan. The maximum aggregate number of shares that may be issued under the Plan shall not exceed 8,000,000. The Board of Directors may increase the number of shares in the Plan by adding additional shares on January 1st of each year for a period of up to ten years, commencing on January 1, 2024 and ending on (and including) January 1, 2033, in an amount equal to the lesser of (i) five percent (5%) of the total number of shares of stock outstanding on December 31st of the preceding calendar year, and (ii) an amount determined by the Board of Directors. No new shares were added to the Plan in 2025. Pursuant to the 2023 Plan, stock options must expire within 10 years and must be granted with exercise prices of no less than the fair value of the common stock on the grant date, as determined by the Board of Directors. As of December 31, 2025, under the 2023 Plan, 3,857,136 shares of common stock were issuable upon exercise of outstanding options and 9,700 restricted stock units (“RSUs”) were issuable. Under the 2023 Plan, 3,730,684 shares remain available for issuance through grants of future options. RSUs awarded under the 2023 Plan for the purchase of common stock will vest based on continued service which is generally three years or based on the achievement of market terms as set forth in the individual awards. The grant date fair value of the award will be recognized as compensation expense over the requisite service period. The fair value of the RSUs is estimated on the date of grant based on the fair value of the Company’s common stock. The 2023 Plan provides that the Compensation Committee shall determine the vesting conditions of awards granted under the 2023 Plan, and the Compensation Committee has, from time-to-time, approved vesting schedules for certain awards that deviate from the vesting conditions described in the previous sentence.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(the “Annual Report”). Some of the information contained in this discussion and analysis or set forth elsewhere in this Annual Report, including information with respect to our plans and strategy for our business,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We are an artificial intelligence (“AI”) company focused on predictive medical diagnostics. We operate in one segment. Currently, we are devoting substantially all of our efforts towards research and development of our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an internally developed multi-spectral imaging device that has previously received FDA breakthrough device designation status for an earlier version. Given our receipt of the UKCA mark for burn indication on our DeepView System, we expect to begin commercialization activities in the United Kingdom in 2026. Our DeepView System uses proprietary algorithms to distinguish between damaged and healthy human tissue invisible to the naked eye, providing “Day One” healing assessments. DeepView’s output is specifically engineered to allow the physician to make a more accurate, timely and informed decision regarding the treatment of the patient’s wound. Our focus has been on the burn indication which is supported by the BARDA PBS contract.</w:t>
      </w:r>
    </w:p>
    <w:p>
      <w:pPr>
        <w:spacing w:after="0" w:line="20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burn wounds, a non-healing assessment could aid the clinician in making an immediate and objective determination for appropriate candidates for surgery, as well as determining what specific areas of the burn wound will require excision and skin grafting. The Company has completed the enrollment of 164 patients, including 49 pediatric subjects, representing the full enrollment requirements in its validation study for the De Novo submission. In participants, the DeepView System has shown superiority in sensitivity and met non-inferiority margin in specificity compared to clinician assessment. These findings were corroborated by the AI model’s cross-validation in identifying non-healing burn regions. This represents a significant improvement above the diagnostic accuracy of burn physicians assessing the same population. In addition to our validation study, we have conducted three large clinical studies with multiple sites across the United States, enrolling more than 400 patients, including adult and pediatric burn patients.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not generated any product revenue to date. We have received substantial support from the U.S. government for our DeepView System’s application for burn wounds, particularly from the Biomedical Advanced Research and Development Authority (“BARDA”), which is part of the HHS Office of the Assistant Secretary for Preparedness and Response in the United States, established to aid in securing the United States from chemical, biological, radiological, and nuclear threats, as well as from pandemic influenza and emerging infectious diseases. We have also received funding from the National Science Foundation (the “NSF”), the National Institute of Health (the “NIH”) and the Defense Health Agency (the “DHA”). Since 2013, we have received approximately $281.9 million in funding awards from government contracts, primarily from BARDA, which accounts for $272.9 million. This has allowed us to develop our technology and further our clinical trials.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we executed our third contract with BARDA for a multi-year Project BioShield (“PBS”) agreement, valued at up to approximately $150.0 million (the “PBS BARDA Contract”). This multi-year contract includes an initial award of nearly $54.9 million to support the clinical validation and FDA clearance of our DeepView System for commercial marketing and distribution purposes, which we expect to continue through the first quarter of 2026. This contract funding is non-dilutive to our shareholders, and we believe it validates the important nature of our mission and technology.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PBS BARDA Contract, we received a $4.0 million grant award from the Medical Technology Enterprise Consortium (“MTEC”) in April 2023, which, building on prior awards from DHA, is to be used to support military battlefield burn evaluation via a handheld version of the DeepView System (the “MTEC Agreement”). In August 2024, the MTEC award was increased to $4.9 million and was extended to run through December 2025 with funding dependent on various milestones. In December 2025, the MTEC contract was extended to run through June 2026. In March 2024, we received an additional $0.5 million award from the DHA to further this development, for a total contract value of approximately $2.8 million.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Once commercialized, we anticipate that the DeepView System will have two revenue streams, a SaMD (software as a medical device) model, and an imaging device component. The SaMD model applies a SaaS (software as a service) treatment for the DeepView System which will feature a software licensing fee that includes maintenance, image hosting, and access to algorithm updates. The proprietary imaging device accesses artificial intelligence algorithms and is a universal platform to house multiple clinical applications. Pricing for these components will be evaluated and strategically set per country and site-of-service for heightened customer adoption.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12, 2023, following completion of the Business Combination, the Company began trading its shares of the Company Common Stock and the Public Warrants on the Nasdaq Global Market (the “Nasdaq”) under the symbols “MDAI” and “MDAIW”,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sale or license of our products. Our primary source of revenue is research and development revenue. Currently, we are highly dependent upon the reimbursements from BARDA for the burn diagnostic testing of our DeepView System and other U.S. government awards. The Company recognizes revenue from the sale of its products in accordance with ASC 606, Revenue from Contracts with Customers (“ASC 606”). The provisions of ASC 606 require the following steps to determine revenue recognition: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Company’s product revenue is recognized at a point in time when the performance obligation is satisfied by transferring control of the promised goods or services to a customer. Our research and development revenue is affected by the amount of research and development that is expended each month with respect to our contract with BARDA and other U.S. governmental contract awards, such as our grant under the MTEC Agreement which we earn based on the achievement of milestones and performance milestones. Our revenue growth is dependent upon a number of factors, including expanding the research and development activities under the BARDA contract, research and development reimbursed expenses relating to other contract awards from U.S. governmental agencies and the intended future commercial sales of our DeepView System. See “Liquidity and Capital Resources”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cost of revenues consists primarily of direct and indirect costs associated with the research and development activities relating to the BARDA and MTEC contracts. Our cost of revenue is affected by the extent of research and development activities as well as expansion of work on other U.S. governmental projects and the expanded applications for our DeepView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may vary from period-to-period and is primarily affected by the current reimbursement rates under the BARDA contract and other U.S. governmental contract awards. These reimbursement rates are fixed under the BARDA contract. Under the BARDA contract our gross profit represents this reimbursement rate plus a fixed fee component relating to non-reimbursed expenses incurred in connection with the work completed. Under the other fixed fee U.S. governmental contract awards our gross profit corresponds to the achievement of pre-determined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costs and expenses consist of general and administrative expenses. These expenses primarily relate to salaries and related costs of our organization’s support and operations staff, consulting fees, rent, insurance and office expenses, and our non-revenue generating research and development expenses, primarily related to salaries and related costs and consulting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2025, other income (expense) consists of net interest expense, borrowing related costs related to the Avenue Financing, fees related to the Hudson Bay Financing, change in the fair value of warrant liability, and foreign exchange transaction gains/losses. In 2024, other income (expense) consists of fees incurred in connection with the Yorkville transaction and B. Riley purchase agreement, net interest income, borrowing related costs related to the Yorkville convertible notes, including the 8% original issue discount per each Pre-Paid Advance, change in fair value of notes payable, change in fair value of warrant liabilities, changes in fair value of derivatives, and foreign exchange transaction gains/losses. Historic foreign exchange transaction loss primarily relates to changes in the exchange rate between the U.S. dollar and the British pound sterling for our deposit accounts that are denominated in British pound sterling. In addition, this amount includes costs associated with currency translation costs associated with purchasing British pound sterling for payment of our employees and vendors in the UK.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by our public competitors and are regularly used by security analysts, institutional investors, and other interested parties in analyzing operating performance and prospects. Adjusted EBITDA is a non-GAAP measure, as it is not a financial measure calculated in accordance with GAAP and should not be considered as a substitute for net (loss) income, calculated in accordance with GAAP. See “Non-GAAP Financial Measures” for additional information on adopted non-GAAP financial measures and a reconciliation of these non-GAAP measures to the most comparable GAAP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these metrics for the years ended December 31, 2025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7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64"/>
        </w:trPr>
        <w:tc>
          <w:tcPr>
            <w:tcW w:w="72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190"/>
              <w:spacing w:after="0" w:line="256"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(1)</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8,925</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13,274</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(4,349)</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(8,603)</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(6,582)</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7,587</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(7,417)</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(5,540)</w:t>
            </w: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w:t>
            </w:r>
          </w:p>
        </w:tc>
      </w:tr>
    </w:tbl>
    <w:p>
      <w:pPr>
        <w:spacing w:after="0" w:line="179" w:lineRule="exact"/>
        <w:rPr>
          <w:sz w:val="20"/>
          <w:szCs w:val="20"/>
          <w:color w:val="auto"/>
        </w:rPr>
      </w:pPr>
    </w:p>
    <w:p>
      <w:pPr>
        <w:ind w:left="340" w:right="840" w:hanging="332"/>
        <w:spacing w:after="0" w:line="372"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an adjustment of $157,000 to the income tax provision during the year ended December 31, 2024. See further discussion in Note 1. See “Non-GAAP Financial Measures” below for a reconciliation of net loss to Adjusted EBITDA.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research and development revenue as revenue generated from the research, testing and development of our DeepView System as utilized in connection with our burn indication. This research and development revenue reflects applied research and experimental development costs relating to our burn application as developed in connection with our BARDA, MTEC and DHA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gross profit as research and development revenue, less cost of revenue, and define gross margin, expressed as a percentage, as the ratio of gross profit to revenue. Gross profit and gross margin can be used to understand our financial performance and efficiency and as we begin commercialization, it will allow investors to evaluate our pricing strategy and compare against our competitors. Our management uses these metrics to make strategic decisions, pricing decisions, identifying areas for improvement, set targets for future performance and make informed decisions about how to allocate resources going forward.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earnings before interest, tax, depreciation and amortization (“Adjusted EBITDA”) as net loss excluding income taxes, depreciation of property and equipment, net interest income, stock compensation, transaction costs and any non-operating financial income and expense. See “Non-GAAP Financial Measures” for a reconciliation of GAAP net loss to Adjusted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that May Influence Future Results of Operations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financial results of operations may not be comparable from period to period due to several factors. Key factors affecting our results of operations are summarized below.</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Sources. </w:t>
      </w:r>
      <w:r>
        <w:rPr>
          <w:rFonts w:ascii="Times New Roman" w:cs="Times New Roman" w:eastAsia="Times New Roman" w:hAnsi="Times New Roman"/>
          <w:sz w:val="18"/>
          <w:szCs w:val="18"/>
          <w:color w:val="auto"/>
        </w:rPr>
        <w:t>As a pre-commercialization company, we currently generate revenue almost exclusively from two U.S. governmental agencies.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highly dependent upon the continuation of the existing U.S. governmental contract awards, as well as future governmental procurement or other awards. Our operating results may not be comparable between periods as the timing and amount of awards or procurements from the U.S. government may be inconsistent with the timing of prior awards and the phasing of the development study schedules may be different. Our revenues may continue to be almost exclusively dependent upon the terms of those awards.</w:t>
      </w:r>
    </w:p>
    <w:p>
      <w:pPr>
        <w:spacing w:after="0" w:line="1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When we begin commercial sales of the DeepView System, we may need to determine lower pricing and incentives to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and implementation of the DeepView System, which may negatively impact future revenue and gross margin percentages.</w:t>
      </w:r>
    </w:p>
    <w:p>
      <w:pPr>
        <w:spacing w:after="0" w:line="1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Managing our Supply Chain. </w:t>
      </w:r>
      <w:r>
        <w:rPr>
          <w:rFonts w:ascii="Times New Roman" w:cs="Times New Roman" w:eastAsia="Times New Roman" w:hAnsi="Times New Roman"/>
          <w:sz w:val="18"/>
          <w:szCs w:val="18"/>
          <w:color w:val="auto"/>
        </w:rPr>
        <w:t>We are reliant on contract manufacturers and suppliers to produce our components. While we have not been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disruptions in our current limited production, we may be subject to component shortages, which may cause delays in critical components and inventory, longer lead times, increased costs and delays in product shipments. Our ability to grow depends, in part, on the ability of our contract manufacturers and suppliers to provide high quality services and deliver components and finished products on time and at reasonable costs. While we do not maintain sole-source suppliers, there is a concentration of suppliers which could lead to supply shortages, long lead times for components and supply changes. In the event we are unable to mitigate the impact of delays and/or price increases in raw materials, electronic components and freight, it could delay the manufacturing and installation of our products, which would adversely impact our cash flows and results of operations, including revenue and gross margin.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of our results of operations for the years ended December 31, 2025 and 2024 (in thousands):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3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190"/>
              <w:spacing w:after="0" w:line="256"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(10,725)</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(16,307)</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5,582</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17,528</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19,856</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36"/>
        </w:trPr>
        <w:tc>
          <w:tcPr>
            <w:tcW w:w="7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(8,603</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(6,582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related costs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(2,965)</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1,914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3,249</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(4,633)</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7,882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transaction loss, net</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615</w:t>
            </w:r>
          </w:p>
        </w:tc>
      </w:tr>
      <w:tr>
        <w:trPr>
          <w:trHeight w:val="210"/>
        </w:trPr>
        <w:tc>
          <w:tcPr>
            <w:tcW w:w="73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1,043</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(8,462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9,505</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(15,158</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7,587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an adjustment of $157,000 to the income tax provision during the year ended December 31, 2024. See further discussion in Note 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1"/>
                <w:szCs w:val="21"/>
                <w:color w:val="auto"/>
              </w:rPr>
            </w:pPr>
          </w:p>
        </w:tc>
        <w:tc>
          <w:tcPr>
            <w:tcW w:w="14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9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19,650</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29,581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(9,931)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revenue was $19,650, for the year ended December 31, 2025, a decrease of 33.6% compared to the comparable period in 2024, reflecting a decrease in the completed work under the PBS BARDA Contract as the contract progressed to the end of the base phase of such contract and consistent revenue in the awards and work performed under the Company’s other U.S. governmental contracts.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2025 and 2024, the Company’s revenues disaggregated by the major sources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1"/>
                <w:szCs w:val="21"/>
                <w:color w:val="auto"/>
              </w:rPr>
            </w:pPr>
          </w:p>
        </w:tc>
        <w:tc>
          <w:tcPr>
            <w:tcW w:w="14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BARDA</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17,700</w:t>
            </w:r>
          </w:p>
        </w:tc>
        <w:tc>
          <w:tcPr>
            <w:tcW w:w="340" w:type="dxa"/>
            <w:vAlign w:val="bottom"/>
            <w:tcBorders>
              <w:lef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27,903</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(10,203)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U.S. governmental authorities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272</w:t>
            </w:r>
          </w:p>
        </w:tc>
        <w:tc>
          <w:tcPr>
            <w:tcW w:w="3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5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revenue</w:t>
            </w: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tcBorders>
              <w:left w:val="single" w:sz="8" w:color="CCEEFF"/>
            </w:tcBorders>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50"/>
        </w:trPr>
        <w:tc>
          <w:tcPr>
            <w:tcW w:w="5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160" w:type="dxa"/>
            <w:vAlign w:val="bottom"/>
            <w:shd w:val="clear" w:color="auto" w:fill="CCEEFF"/>
          </w:tcPr>
          <w:p>
            <w:pPr>
              <w:spacing w:after="0"/>
              <w:rPr>
                <w:sz w:val="21"/>
                <w:szCs w:val="21"/>
                <w:color w:val="auto"/>
              </w:rPr>
            </w:pPr>
          </w:p>
        </w:tc>
        <w:tc>
          <w:tcPr>
            <w:tcW w:w="340" w:type="dxa"/>
            <w:vAlign w:val="bottom"/>
            <w:tcBorders>
              <w:lef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29,581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22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1"/>
                <w:szCs w:val="21"/>
                <w:color w:val="auto"/>
              </w:rPr>
            </w:pPr>
          </w:p>
        </w:tc>
        <w:tc>
          <w:tcPr>
            <w:tcW w:w="14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10,725</w:t>
            </w:r>
          </w:p>
        </w:tc>
        <w:tc>
          <w:tcPr>
            <w:tcW w:w="1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(5,582)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(4,349)</w:t>
            </w:r>
          </w:p>
        </w:tc>
        <w:tc>
          <w:tcPr>
            <w:tcW w:w="3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34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for the year ended December 31, 2025 was $10.7 million, a decrease of 34.2% compared to the comparable period in 2024, due to decreased development activity to fulfill our U.S. governmental contracts, consistent with the decrease in research and development revenue.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margin for the year ended December 31, 2025 was 45.4%, an increase from 44.9% as compared to the comparable period in 2024, due to slightly more direct labor attributed to the PBS BARDA Contract as a component of the overall development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1"/>
                <w:szCs w:val="21"/>
                <w:color w:val="auto"/>
              </w:rPr>
            </w:pPr>
          </w:p>
        </w:tc>
        <w:tc>
          <w:tcPr>
            <w:tcW w:w="14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9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17,528</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19,856</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was $17.5 million, for the year ended December 31, 2025, a decrease of 11.7% as compared to the comparable period in 2024. Non-revenue generating research and development activities have decreased by approximately $2.6 million for the year ended December 31, 2025 compared to the comparable period in 2024 offset by an increase of approximately $0.6 million related to other administrative expenses for the year ended December 31, 2025, compared to the comparable period in 2024. This expense also reflects a decrease in the overall headcount at the Company from the prior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Financing related costs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(1,051)</w:t>
            </w:r>
          </w:p>
        </w:tc>
        <w:tc>
          <w:tcPr>
            <w:tcW w:w="3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(2,965)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3,249</w:t>
            </w:r>
          </w:p>
        </w:tc>
        <w:tc>
          <w:tcPr>
            <w:tcW w:w="3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(4,633)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transaction loss, net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including transaction costs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40" w:type="dxa"/>
            <w:vAlign w:val="bottom"/>
            <w:tcBorders>
              <w:top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interest expense for the year ended December 31, 2025 primarily relates to interest expense associated with the Avenue Financing.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Financing related costs decreased $1.9 million for the year ended December 31, 2025, as compared to the comparable period in 2024 primarily due to the elimination of the expenses relating to the Company’s prior financings that were expensed during fiscal year 2024. Amortization of debt discount of $0.5 million for the year ended December 31, 2025 relates to amortization of the discount on the Avenue note payable.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Change in fair value of warrant liabilities increased by approximately $7.9 million for the year ended December 31, 2025 as compared to the comparable period in 2024. Change in fair value of warrant liabilities was an expense of $3.2 million for the year ended December 31, 2025, as compared to a benefit of ($4.6) million for same period in 2024. The changes reflect fluctuations in the fair value of the Company’s warrants during the year ended December 31, 2025. The Company’s warrants are classified as liabilities and remeasured to fair value at each reporting period, with changes recognized in net loss. As a result, fluctuations in the warrant price of Public Warrants and fluctuations in the fair value of other outstanding warrants may cause significant non-cash gains or losses, leading to volatility in reported net loss.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 in fair value of notes payable increased by approximately $0.4 million for the year ended December 31, 2025, as compared to the comparable period in 2024, which reflects the change in fair value of the Yorkville convertible note accounted for under the fair value option.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Foreign exchange transaction loss for the year ended December 31, 2025 and 2024 is immaterial due to lower balances in our deposit accounts and accounts payable denominated in British pound sterling and less fluctuation in the exchange rate between the U.S. dollar and the British pound sterling. In addition, these amounts includes costs associated with buying British pound sterling for payment of our employees and vendors in the UK.</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(expenses), including transaction costs for the year ended December 31, 2024 primarily relating to non-recurring legal, professional, and service fees incurred in connection with the Yorkville transaction and B. Riley purchase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Adjusted EBITDA as a non-GAAP metric when measuring performance, including when measuring current period results against prior periods’ Adjusted EBITDA. This non-GAAP financial measure should be considered in addition to results prepared in accordance with GAAP and should not be considered as a substitute for, or superior to, GAAP results. In addition, Adjusted EBITDA should not be construed as an indicator of our operating performance, liquidity or cash flows generated by operating, investing and financing activities, as there may be significant factors or trends that it fails to address.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their non-standardized definitions, non-GAAP measures (unlike GAAP measures) may not be comparable to the calculation of similar measures of other companies. We caution investors that non-GAAP financial information, by its nature, departs from traditional accounting conventions. Supplemental non-GAAP measures are presented solely to permit investors to more fully understand how Spectral AI’s management assesses underlying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loss excluding income taxes, depreciation of property and equipment, net interest income, stock compensation, transaction costs and any non-operating financial income and expense.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Adjusted EBITDA for the years ended December 31, 2025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63"/>
        </w:trPr>
        <w:tc>
          <w:tcPr>
            <w:tcW w:w="86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10"/>
              <w:spacing w:after="0" w:line="256"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expense (income)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(6,603)</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(15,048)</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adjustments: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related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2,965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4,633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transaction loss,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expenses, including transaction costs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615</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an adjustment of $157,000 to the income tax provision during the year ended December 31, 2024. See further discussion in Note 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$15.4 million in cash, notes payable of $8.4 million, of which $5.5 million represents long-term debt. We had an accumulated deficit of approximately $55.8 million. The Company incurred a net loss of $7.6 million during the year ended December 31, 2025 and had working capital (current assets less current liabilities) of approximately ($1.2) million as of December 31, 2025. Net cash used in operating activities was $9.9 million for the year ended December 31, 2025.</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22, 2025, the Company entered into a securities purchase agreement, by and between Spectral AI, Inc. and Hudson Bay Master Fund Ltd., which provided for the issuance and sale of 3.1 million shares of Common Stock, at an offering price of $1.90 per share. In addition, in a concurrent private placement, the Company issued and sold warrants for the purchase of up to 4.0 million shares of Common Stock and pre-funded warrants to purchase up to 0.9 million shares of common stock, for aggregate gross proceeds of $7.6 million (such transaction, the “Hudson Bay Financing”). Each warrant has an exercise price per share of $2.51 and will be exercisable on the earlier of (a) the effective date of stockholder approval for the issuance of shares of Common Stock underlying the warrants and (b) the date that is six months following the issuance date of the warrants and will have a term of five (5) years from such issuance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21, 2025, the Company entered into a (i) Loan and Security Agreement (the “LSA”), by and among the Company, Spectral MD Holdings LLC, Spectral MD, Inc. and Avenue Venture Opportunities Fund II, L.P., a fund of Avenue Capital Group, as administrative agent and collateral agent and as a lender (“Avenue”) and (ii) Supplement to Loan and Security Agreement (the “Supplement”), by and among the Company, Spectral MD Holdings LLC, Spectral MD, Inc. and Avenue. Pursuant to the LSA and Supplement, the Company has the ability to borrow up to $15.0 million in funding from Avenue with an initial draw down of $8.5 million (such transaction, the “Avenue Financing”).</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loans under the LSA mature on March 1, 2028, with an interest-only payment period of no less than 15 months, which can be extended to 24 months upon the achievement of certain milestones prior to the end of such 15-month period as described in the Tranche 2 Milestone Date (as defined in the Supplement). The Tranche 2 Commitment (as defined in the Supplement) includes an additional $6.5 million in debt financing and is contingent upon, among other things, (i) U.S. Food and Drug Administration’s (FDA) clearance of the Company’s DeepView System and (ii) an additional $7.0 million equity raise to be completed by the Company.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Avenue Financing also included warrant coverage equal to 8.5% of the total funding commitment from Avenue, with an exercise price equal to the lower of (i) average of the daily volume weighted average price of Common Stock as reported for each of five (5) consecutive trading days, determined as of the end of the trading on the last trading day before the date of issuance, which was $1.66 and (ii) the lowest price per share paid to the Company by cash investors for Common Stock issued in any sale of Common Stock in a bona-fide equity raising that closes at any time commencing from March 21, 2025 through (but excluding) December 31, 2025.</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21, 2025, as a condition to the Avenue Financing, the Company entered into securities purchase agreements with certain investors in the United States and the United Kingdom for the sale of an aggregate of 2,076,923 shares of the Company’s Common Stock, at an offering price of $1.30 per Share which raised an additional $2.7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and December 2024, the Company issued 3,896,781 shares for aggregate net proceeds of approximately $4.5 million to certain institutional investors through at-the market equity issuances, stock option exercises and the conversion of the Company’s wholly-owned subsidiary, Spectral IP, Inc. (“Spectral IP”), convertible promissory note into shares of the Company’s common stock.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through the issuance of notes and the sale of common stock, along with payments under governmental contracts for research and development activity.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PBS BARDA Contract, valued at up to approximately $150.0 million. This multi-year contract includes an initial award of nearly $54.9 million to support the clinical validation and FDA clearance of DeepView® for commercial development and distribution purposes. The Company completed the second contract with BARDA, referred to as BARDA Burn II, which was signed in July 2019 and completed in November 2023. Under this contract, the Company furthered the DeepView® System design, developed the AI algorithm, and took steps to obtain FDA approval.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18, 2026, the Company announced that it has received a contract modification from BARDA for the advancement of $31.7 million from its existing contract with BARDA which included (i) a no-cost extension of the base phase of the contract, and (ii) the acceleration of certain parts of the next phase of such contract. As part of this funding advance, the Company has committed to fund $9.7 million of the total overall development costs associated with these feature advancements. This funding comes as part of an ongoing partnership with BARDA, which has committed $54.9 million to date under the contract with an overall value of approximately $150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2023, the Company received a $4.0 million grant under the MTEC Agreement, which was increased to $4.9 million in August 2024. In December 2025, the MTEC contract was extended to run through June 2026. The MTEC Agreement is for the development of a handheld version of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which is to be used to support military battlefield burn evaluation. The project has three phases, beginning with planning, design and testing; followed by development, design modification and buildout of the handheld device; and then the manufacturing of the handheld device.</w:t>
      </w:r>
    </w:p>
    <w:p>
      <w:pPr>
        <w:spacing w:after="0" w:line="20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and cash equivalents, together with the PBS BARDA Contract, the MTEC Agreement, the Avenue Financing, the Yorkville SEPA and the Hudson Bay Financing, will be sufficient to fund operations for at least one year beyond the release date of these consolidated financial statements. We have based this determination on assumptions that may prove to be wrong, and we could utilize our available capital resources sooner than we currently expect. The Company may continue to conserve our working capital and to focus our efforts primarily on the burn indication. Changing circumstances could also cause us to consume capital significantly faster than we currently anticipate, and we may need to raise capital sooner or in greater amounts than currently expected because of circumstances beyond our control. Changes in the current equity markets may also limit our ability to utilize the Company’s resale registration statement pursuant to Form S-3 as currently structured. To the extent additional capital is necessary, there are no assurances that we will be able to raise additional capital on favorable terms or at all, and therefore we may not be able to execute our business plans and the continued work on indications beyond expanding our burn indication.</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revenue growth rate, the success of future product development and capital investment required, and the timing and extent of spending to support further sales and marketing and research and development efforts. If we are unable to raise additional capital when desired, our business, operating results, and financial condition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2025 and 2024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20,120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9,575</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increased by approximately $1.4 million for the year ended December 31, 2025, as compared to the year ended December 31, 2024 primarily driven by changes in accounts receivable, prepaid expenses, operating liabilities including accrued expenses and deferred revenue. The higher net loss is a result of reduced reimbursed research and development revenue based on lower BARDA activity and lower non-operating transaction costs in the year ended December 31, 2025 compared to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increased approximately $11.2 million for the year ended December 31, 2025 compared to the year ended December 31, 2024. This was primarily attributable to $8.3 million of proceeds from the Avenue Financing and, $10.7 million of proceeds from the sale of the Company’s Common Stock and warrants, partially offset by $1.5 million of repayments of notes payable issued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Indebtedness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the ability under the LSA to borrow up to $15.0 million in funding from Avenue with an initial draw down of $8.5 million from the Avenue Financing occurring in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loans under the LSA mature on March 1, 2028, with an interest-only payment period of no less than 15 months, which can be extended to 24 months upon the achievement of certain milestones prior to the end of such 15-month period as described in the Tranche 2 Milestone Date (as defined in the Supplement). The Tranche 2 Commitment (as defined in the Supplement) includes an additional $6.5 million in debt financing and is contingent upon, among other things, (i) U.S. FDA’s approval of the Company’s De Novo submission of the DeepView System and (ii) an additional $7.0 million equity raise to be completed by the Company.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Avenue Financing also includes warrant coverage equal to 8.5% of the total funding commitment from Avenue, with an exercise price equal to the lower of (i) average of the daily volume weighted average price of Common Stock as reported for each of five (5) consecutive trading days, determined as of the end of the trading on the last trading day before the date of issuance, which was $1.66 and (ii) the lowest price per share paid to the Company by cash investors for Common Stock issued in any sale of Common Stock in a bona-fide equity raising that closes at any time commencing from March 21, 2025 through (but excluding)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to be utilized to acquire artificial intelligence intellectual property with a specific emphasis on healthcare. On March 19, 2024, the Company announced that Spectral IP received a $1.0 million investment from an affiliate of its largest shareholder for the development of its artificial intelligence intellectual property portfolio. The investment is structured as a note payable with a one-year maturity, an interest rate of 8%, and requiring earlier prepayment if the Company spins off Spectral IP to the Company’s shareholders or if Spectral IP is sold to a third party.</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 2024, the note was amended to (i) reduce the annual interest rate from 8% to 4%, (ii) extend the term of the note through the second anniversary of the issuance date, March 18, 2026, (iii) include a conversion feature at the option of either the holder or Spectral IP to convert the then outstanding principal and accrued but unpaid interest into shares of the Company at any time (into such number of shares calculated by taking a five percent (5.00%) discount to the closing price of the Company’s common stock on the day prior to the date of notice to the Company of the exercise of the conversion right) and at maturity, respectively, and (iv) provide for registration rights of any shares of the Company issued in satisfaction of the outstanding obligations. In 2024, the holder of the note converted all of the outstanding principal and interest due and owing into shares of the Company’s Common Stock.</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5, 2025, the Company entered into an intellectual property license agreement pursuant to which Spectral IP received a worldwide, non-exclusive, license to one international patent asset of the Company for the purposes of commercializing and monetizing outside the core areas of focus of the Company on market terms and conditions that are to be finalized. There were no other related party transactions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periods presented, we did not have any off-balance sheet arrangements, as defined in Item 303(a)(4)(ii) of SEC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audited consolidated financial statements included elsewhere in this Annual Report. We believe that the following accounting policies are those most critical to the judgments and estimates used in the preparation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Equity-Based Awards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directors, employees, and non-employees based on their fair value on the date of the grant and recognize the corresponding compensation expense of those awards over the requisite service period, which is generally the vesting period of the respective award. We have issued stock options, restricted stock awards and restricted stock units with time-based vesting conditions and record the expense for these awards using the ratable method. We have also issued stock options and restricted stock units that vest upon the achievement of certain market conditions. We determine the fair value of time-based vesting restricted stock awards granted based on the fair value of our common stock. We estimate the fair value of time-based vesting stock option awards granted using the Black-Scholes option-pricing model, which uses as inputs the fair value of our common stock and subjective assumptions we make, including the expected stock price volatility, the risk-free interest rate and expected dividends, and the contractual term as the expected term of the award. We determine the fair value of restricted stock units and stock options that vest upon the achievement of certain market conditions using a Monte Carlo simulation model, which uses as inputs the fair value of our common stock and subjective assumptions we make, including the expected stock price volatility, the expected term of the award, the risk-free interest rate and expected dividends.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Due to insufficient trade history of our common stock, in prior years we are unable to estimate the future volatility of our share price and instead estimate our expected volatility from the historical volatility of a representative group of publicly traded companies for which historical information is available. Beginning in the year ended December 31, 2025, we utilized the Company’s historical volatility to date. The historical volatility is generally calculated based on a period of time commensurate with the expected term assumption. We use the simplified method to calculate the expected term for options granted to employees and directors, which is based on the average of the time-to-vesting and the contractual life of the options. We utilize this method as we do not have sufficient historical exercise data to provide a reasonable basis upon which to estimate the expected term. For grants to non-employees, the relevant accounting literature allows entities to use the expected term to measure non-employee options or elect to use the contractual term as the expected term, on an award-by-award basis. The risk-free interest rate is based on a U.S. treasury instrument whose term is consistent with the expected term of the stock options. The expected dividend yield is assumed to be zero as we have never paid dividends and do not have current plans to pay any dividends on our common stock.</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10 to our audited consolidated financial statements included elsewhere in this Annual Report for information concerning certain of the specific assumptions we used in applying the Black-Scholes option pricing model and Monte Carlo simulation model to determine the estimated fair value of our stock options granted in the years ended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Warrant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Public Warrants, Angel Warrants, Investor Warrants, Avenue Warrants and Hudson Warrants are accounted for as liabilities in accordance with ASC 815-40 and are presented within warrant liabilities in our audited consolidated financial statements included elsewhere in this Annual Report.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warrant liabilities are measured at fair value at inception and on a recurring basis until exercised, with changes in fair value presented within the consolidated statement of operations. The fair value of the Public Warrants is determined using the closing price of the warrants in an active market (the NASDAQ), which is considered a Level 1 fair value measurement. We determine the value of the Angel Warrants and the Avenue Warrants using a Black-Scholes option pricing model and the Investor Warrants and Hudson Warrants using a Monte Carlo simulation model. The valuation of the Angel Warrants, Avenue Warrants, Investor Warrants, and Hudson Warrants are considered Level 3 fair value measurements because the valuations are based on significant inputs that are unobservable in the market. These models consider several variables and assumptions in estimating the fair value of financial instruments, including the per-share fair value of the underlying common stock, exercise price, expected term, risk-free interest rate, expected stock price volatility over the expected term, and expected annual dividend yield. The Company also makes certain assumptions about the probability of certain change of control or financing events as of each valuation date. Certain inputs utilized in our valuation models may fluctuate in future periods based upon factors which are outside of the Company’s control. A significant change in one or more of these inputs used in the calculation of the fair value may cause a significant change to the fair value of our warrant liability which could also result in material non-cash gain or loss being reported in our consolidated statement of operations.</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3 to our audited consolidated financial statements included elsewhere in this Annual Report for information concerning certain of the specific assumptions we used in applying the Black-Scholes option pricing model and Monte Carlo simulation model to determine the estimated fair value of the warrants as of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for MTEC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generates research and development revenue, including revenue under a grant agreement with MTEC, whereby the Company is developing a handheld version of the DeepView System which is to be used to support military battlefield burn evaluation. The MTEC Agreement provides for installment payments after the completion of milestone events. The installment payments are considered variable consideration as the entitlement depends on successful completion of research. However, the payments are not constrained from inclusion in the transaction price as it not probable that a significant reversal of cumulative revenue will be reversed when the underlying uncertainty is resolved.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Revenue under the MTEC Agreement is recognized over time using the cost-to-cost input method to measure progress toward completion. The Company believes this method best reflects the transfer of services to the customer, as it directly correlates incurred costs with the value delivered to the customer. Because the customer receives and benefits from ongoing access to the Company’s research and development efforts as they are performed, revenue is recognized incrementally as research activities occur. The Company measures progress of performance by comparing the actual costs incurred to-date to the total estimated cost of the project. Estimated costs include our latest estimates using judgments with respect to research hours and materials costs. This method requires us to make estimates of the total costs we expect to incur and the total length of time it will take us to complete our promised research and development services. The Company will adjust the measure of progress at the end of each reporting period and reflect any changes to the estimated cost of the project on a prospective basis. Adjustments to these estimates could materially impact the timing and amount of recognized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our consolidated financial statements included elsewhere in this Form 10-K for recently adopted accounting standards and recently issued accounting standards as of the dates of the statement of financial position included in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w:t>
      </w:r>
    </w:p>
    <w:p>
      <w:pPr>
        <w:spacing w:after="0" w:line="3" w:lineRule="exact"/>
        <w:rPr>
          <w:sz w:val="20"/>
          <w:szCs w:val="20"/>
          <w:color w:val="auto"/>
        </w:rPr>
      </w:pPr>
    </w:p>
    <w:p>
      <w:pPr>
        <w:jc w:val="both"/>
        <w:ind w:right="20" w:firstLine="8"/>
        <w:spacing w:after="0" w:line="255" w:lineRule="auto"/>
        <w:tabs>
          <w:tab w:leader="none" w:pos="2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spacing w:after="0" w:line="18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consolidated financial statements in addition to any required unaudited interim consolidated financial statements, with correspondingly reduced disclosure in the section titled “Management’s Discussion and Analysis of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the fiscal year ending after the fifth anniversary of our initial public offering or such earlier time that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$700.0 million as of the prior June 30th and we have been a public company for at least 12 months and have filed one annual report on Form 10-K; or (iv) the date on which we have issued more than $1.0 billion of non-convertible debt over the prior three-year period. We may choose to take advantage of some but not all of these reduced reporting burdens. Accordingly, the information contained herein may be different than you might obtain from other public companies in which you hold equity interests.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and, similar to emerging growth companies,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An index of those financial statements is found in Item 15, Exhibits and Financial Statement Schedules,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that term is defined in Rules 13a-15(f) and 15d-15(f) under the Exchange Act). Our management, under the supervision of our Chief Executive Officer and Chief Financial Officer, has evaluated the effectiveness of our disclosure controls and procedures (as defined in Rules 13a-15(e) and 15d-15(e) under the Exchange Act, as of the end of the period covered by this Annual Report on Form 10-K.</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u w:val="single" w:color="auto"/>
          <w:color w:val="auto"/>
        </w:rPr>
        <w:t>Material Weakness:</w:t>
      </w:r>
      <w:r>
        <w:rPr>
          <w:rFonts w:ascii="Times New Roman" w:cs="Times New Roman" w:eastAsia="Times New Roman" w:hAnsi="Times New Roman"/>
          <w:sz w:val="18"/>
          <w:szCs w:val="18"/>
          <w:color w:val="auto"/>
        </w:rPr>
        <w:t xml:space="preserve"> Our financial statement close process controls, including controls over account reconciliations, transaction processing, and financial reporting review, did not operate consistently or with sufficient precision to ensure timely performance and review, including appropriate oversight of financial statement reporting.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that evaluation, management concluded that, as of December 31, 2025, our disclosure controls and procedures were not effective due to the material weakness in internal control over financial reporting described below. As discussed in Item 9A of our Form 10-K for the year ended December 31, 2025, we identified material weaknesses in our internal control over financial reporting as well as a lack of effective controls over the COSO principles including control environment, risk assessment, control activities, information and communications and monitoring as of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Remediation generally requires making changes to how controls are designed and implemented and then adhering to those changes for a sufficient period of time such that the effectiveness of those changes is demonstrated with an appropriate amount of consistency. In response to the material weakness, we implemented, and are continuing to implement and monitor, measures designed to improve our internal control over financial reporting. These efforts include:</w:t>
      </w:r>
    </w:p>
    <w:p>
      <w:pPr>
        <w:spacing w:after="0" w:line="180"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 professional accounting services firm, in 2024, to help us assess and commence documentation of our internal controls for complying with the Sarbanes-Oxley Act of 2002;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consultants to provide additional technical accounting expertise;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and 2025, enhanced functionality of our enterprise resource planning system to support certain key financial processes and controls and enforce certain segregation of duties through automation and approval workflows;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accounting personnel by supplementing capacity gaps. We will continue to make additional accounting hires to further bolster capabilities.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measures we implemented are subject to continued management review supported by confirmation and testing, as well as audit committee oversight. Management and the Audit Committee remain committed to the implementation of remediation efforts to address the material weakness. We will continue to implement measures to remedy our internal control deficiencies, though there can be no assurance that our efforts will be successful or avoid potential future material weaknesses. In addition, until remediation steps have been completed and are operated for a sufficient period of time, and subsequent evaluation of their effectiveness is completed, the material weaknesses previously disclosed, and as described above, will continue to exist.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assessed the effectiveness of our internal control over financial reporting as of December 31, 2025. In making this assessment, our management used the criteria set forth by the Committee of Sponsoring Organizations of the Treadway Commission, or COSO, in Internal Control-Integrated 2013 Framework.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this assessment, our management concluded that, as of December 31, 2025, our internal control over financial reporting was not effective at the reasonable assurance level, due to the material weaknesses outlined above.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made progress in 2025 to enhance and strengthen our internal control over financial reporting. The measures we implemented are subject to continued management review supported by confirmation and testing, as well as audit committee oversight. Management remains committed to remediating these material weaknesses.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continue to implement measures to remedy our internal control deficiencies, though there can be no assurance that our efforts will be successful or avoid potential future material weaknesses.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the remediation efforts in connection with the material weaknesses described above, there were no changes in our internal control over financial reporting (as defined in Rule 13a-15(f) of the Exchange Act) that occurred during the fourth quarter of the year ended December 31, 2025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is set forth under the captions “Executive Officers of the Registrant”, “Proposal No. 1 – Election of Directors” and “Board of Directors and Committees” in our Definitive Proxy Statement with respect to our 2026 Annual Meeting of Stockholders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an “emerging growth company” as defined in the JOBS Act, we are not required to include a Compensation Discussion and Analysis section and have opted to comply with the scaled disclosure requirements applicable to emerging growth companies.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set forth under the caption “Executive Officer and Director Compensation” in our Definitive Proxy Statement with respect to our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is set forth under the captions “Share Ownership” and “Outstanding Equity Awards at Fiscal Year End 2025” in our Definitive Proxy Statement with respect to our 2026 Annual Meeting of Stockholders and is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set forth under the captions “Certain Relationships and Related Transactions” and “Board of Directors and Committees” in our Definitive Proxy Statement with respect to our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set forth under the caption “Proposal No. 2: Ratification of Independent Registered Public Accounting Firm” in our Definitive Proxy Statement with respect to our 2026 Annual Meeting of Stockholders and is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4"/>
              </w:rPr>
              <w:t>PART IV.</w:t>
            </w:r>
          </w:p>
        </w:tc>
        <w:tc>
          <w:tcPr>
            <w:tcW w:w="2320" w:type="dxa"/>
            <w:vAlign w:val="bottom"/>
          </w:tcPr>
          <w:p>
            <w:pPr>
              <w:spacing w:after="0"/>
              <w:rPr>
                <w:sz w:val="20"/>
                <w:szCs w:val="20"/>
                <w:color w:val="auto"/>
              </w:rPr>
            </w:pPr>
          </w:p>
        </w:tc>
      </w:tr>
      <w:tr>
        <w:trPr>
          <w:trHeight w:val="432"/>
        </w:trPr>
        <w:tc>
          <w:tcPr>
            <w:tcW w:w="8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r>
              <w:rPr>
                <w:rFonts w:ascii="Times New Roman" w:cs="Times New Roman" w:eastAsia="Times New Roman" w:hAnsi="Times New Roman"/>
                <w:sz w:val="18"/>
                <w:szCs w:val="18"/>
                <w:color w:val="auto"/>
              </w:rPr>
              <w:t>.</w:t>
            </w:r>
          </w:p>
        </w:tc>
        <w:tc>
          <w:tcPr>
            <w:tcW w:w="2320" w:type="dxa"/>
            <w:vAlign w:val="bottom"/>
          </w:tcPr>
          <w:p>
            <w:pPr>
              <w:spacing w:after="0"/>
              <w:rPr>
                <w:sz w:val="24"/>
                <w:szCs w:val="24"/>
                <w:color w:val="auto"/>
              </w:rPr>
            </w:pPr>
          </w:p>
        </w:tc>
      </w:tr>
      <w:tr>
        <w:trPr>
          <w:trHeight w:val="432"/>
        </w:trPr>
        <w:tc>
          <w:tcPr>
            <w:tcW w:w="89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tc>
        <w:tc>
          <w:tcPr>
            <w:tcW w:w="2320" w:type="dxa"/>
            <w:vAlign w:val="bottom"/>
          </w:tcPr>
          <w:p>
            <w:pPr>
              <w:spacing w:after="0"/>
              <w:rPr>
                <w:sz w:val="24"/>
                <w:szCs w:val="24"/>
                <w:color w:val="auto"/>
              </w:rPr>
            </w:pPr>
          </w:p>
        </w:tc>
      </w:tr>
      <w:tr>
        <w:trPr>
          <w:trHeight w:val="410"/>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40" w:type="dxa"/>
            <w:vAlign w:val="bottom"/>
            <w:gridSpan w:val="3"/>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SPECTRAL AI, INC.</w:t>
            </w:r>
          </w:p>
        </w:tc>
        <w:tc>
          <w:tcPr>
            <w:tcW w:w="2320" w:type="dxa"/>
            <w:vAlign w:val="bottom"/>
          </w:tcPr>
          <w:p>
            <w:pPr>
              <w:spacing w:after="0"/>
              <w:rPr>
                <w:sz w:val="24"/>
                <w:szCs w:val="24"/>
                <w:color w:val="auto"/>
              </w:rPr>
            </w:pPr>
          </w:p>
        </w:tc>
      </w:tr>
      <w:tr>
        <w:trPr>
          <w:trHeight w:val="238"/>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320" w:type="dxa"/>
            <w:vAlign w:val="bottom"/>
          </w:tcPr>
          <w:p>
            <w:pPr>
              <w:spacing w:after="0"/>
              <w:rPr>
                <w:sz w:val="20"/>
                <w:szCs w:val="20"/>
                <w:color w:val="auto"/>
              </w:rPr>
            </w:pPr>
          </w:p>
        </w:tc>
      </w:tr>
      <w:tr>
        <w:trPr>
          <w:trHeight w:val="216"/>
        </w:trPr>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76"/>
        </w:trPr>
        <w:tc>
          <w:tcPr>
            <w:tcW w:w="89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686)</w:t>
            </w:r>
          </w:p>
        </w:tc>
        <w:tc>
          <w:tcPr>
            <w:tcW w:w="2320" w:type="dxa"/>
            <w:vAlign w:val="bottom"/>
            <w:shd w:val="clear" w:color="auto" w:fill="CCEEFF"/>
          </w:tcPr>
          <w:p>
            <w:pPr>
              <w:ind w:left="170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9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185)</w:t>
            </w:r>
          </w:p>
        </w:tc>
        <w:tc>
          <w:tcPr>
            <w:tcW w:w="2320" w:type="dxa"/>
            <w:vAlign w:val="bottom"/>
          </w:tcPr>
          <w:p>
            <w:pPr>
              <w:ind w:left="170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6820" w:type="dxa"/>
            <w:vAlign w:val="bottom"/>
            <w:tcBorders>
              <w:bottom w:val="single" w:sz="8" w:color="CCEEFF"/>
            </w:tcBorders>
            <w:gridSpan w:val="6"/>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ind w:left="170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5"/>
        </w:trPr>
        <w:tc>
          <w:tcPr>
            <w:tcW w:w="89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2320" w:type="dxa"/>
            <w:vAlign w:val="bottom"/>
          </w:tcPr>
          <w:p>
            <w:pPr>
              <w:ind w:left="170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50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(Deficit)</w:t>
            </w:r>
          </w:p>
        </w:tc>
        <w:tc>
          <w:tcPr>
            <w:tcW w:w="3840" w:type="dxa"/>
            <w:vAlign w:val="bottom"/>
            <w:tcBorders>
              <w:bottom w:val="single" w:sz="8" w:color="CCEEFF"/>
            </w:tcBorders>
            <w:gridSpan w:val="2"/>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ind w:left="170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89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320" w:type="dxa"/>
            <w:vAlign w:val="bottom"/>
          </w:tcPr>
          <w:p>
            <w:pPr>
              <w:ind w:left="170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89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320" w:type="dxa"/>
            <w:vAlign w:val="bottom"/>
            <w:shd w:val="clear" w:color="auto" w:fill="CCEEFF"/>
          </w:tcPr>
          <w:p>
            <w:pPr>
              <w:ind w:left="170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655"/>
        </w:trPr>
        <w:tc>
          <w:tcPr>
            <w:tcW w:w="2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3840" w:type="dxa"/>
            <w:vAlign w:val="bottom"/>
            <w:tcBorders>
              <w:top w:val="single" w:sz="8" w:color="CCEEFF"/>
              <w:bottom w:val="single" w:sz="8" w:color="auto"/>
            </w:tcBorders>
            <w:gridSpan w:val="2"/>
          </w:tcPr>
          <w:p>
            <w:pPr>
              <w:jc w:val="center"/>
              <w:ind w:right="2760"/>
              <w:spacing w:after="0"/>
              <w:rPr>
                <w:sz w:val="20"/>
                <w:szCs w:val="20"/>
                <w:color w:val="auto"/>
              </w:rPr>
            </w:pPr>
            <w:r>
              <w:rPr>
                <w:rFonts w:ascii="Times New Roman" w:cs="Times New Roman" w:eastAsia="Times New Roman" w:hAnsi="Times New Roman"/>
                <w:sz w:val="18"/>
                <w:szCs w:val="18"/>
                <w:color w:val="auto"/>
                <w:w w:val="95"/>
              </w:rPr>
              <w:t>F-1</w:t>
            </w:r>
          </w:p>
        </w:tc>
        <w:tc>
          <w:tcPr>
            <w:tcW w:w="23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78" w:name="page79"/>
    <w:bookmarkEnd w:id="7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Spectral AI, Inc. (the “Company”) as of December 31, 2025, the related consolidated statements of operations and comprehensive loss, changes in stockholders’ equity (deficit), and cash flows for the year ended December 31, 2025, and the related notes (collectively referred to as the “financial statements”). In our opinion, the financial statements referred to above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Forvis Mazars,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 Texas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24,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Spectral AI, Inc. and subsidiaries (the Company) as of December 31, 2024, the related consolidated statements of operations and comprehensive loss, changes in stockholders’ equity (deficit), and cash flows for the year ended December 31, 2024, and the related notes (collectively, the consolidated financial statements). In our opinion, the consolidated financial statements present fairly, in all material respects, the financial position of the Company as of December 31, 2024, and the results of its operations and its cash flows for the year ended December 31, 2024,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130810</wp:posOffset>
            </wp:positionV>
            <wp:extent cx="1123315"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2331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2021 to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8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0"/>
              <w:spacing w:after="0" w:line="276"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4"/>
                <w:szCs w:val="24"/>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19,453</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10,122</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1,407</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34"/>
        </w:trPr>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r>
        <w:trPr>
          <w:trHeight w:val="250"/>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21,405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w:t>
            </w: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-633730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-359410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3,010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4,035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2,341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3,210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short-term</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2,854</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at fair value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2,365</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11,533</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6,451</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long-term</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5,538</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968</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1,702</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27,132</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19,346</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 shares issued and outstanding as of December</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2025 and December 31, 2024</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80,000,000 shares authorized; 30,688,895 and 22,594,877 shares issued and</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respectively</w:t>
            </w:r>
          </w:p>
        </w:tc>
        <w:tc>
          <w:tcPr>
            <w:tcW w:w="3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50,030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40,973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(55,800)</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21,405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12,095</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35"/>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Reflects an adjustment of $126,000 to additional paid-in capital and accumulated deficit as compared to previously reported amounts as of December 31, 2024. See further discussion in Note 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63"/>
        </w:trPr>
        <w:tc>
          <w:tcPr>
            <w:tcW w:w="86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10"/>
              <w:spacing w:after="0" w:line="256"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19,650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29,581</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(10,725)</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(16,307)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17,528</w:t>
      </w:r>
      <w:r>
        <w:rPr>
          <w:sz w:val="20"/>
          <w:szCs w:val="20"/>
          <w:color w:val="auto"/>
        </w:rPr>
        <w:tab/>
      </w:r>
      <w:r>
        <w:rPr>
          <w:rFonts w:ascii="Times New Roman" w:cs="Times New Roman" w:eastAsia="Times New Roman" w:hAnsi="Times New Roman"/>
          <w:sz w:val="18"/>
          <w:szCs w:val="18"/>
          <w:color w:val="auto"/>
        </w:rPr>
        <w:t>19,856</w:t>
      </w:r>
    </w:p>
    <w:p>
      <w:pPr>
        <w:spacing w:after="0" w:line="3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17,528</w:t>
      </w:r>
      <w:r>
        <w:rPr>
          <w:sz w:val="20"/>
          <w:szCs w:val="20"/>
          <w:color w:val="auto"/>
        </w:rPr>
        <w:tab/>
      </w:r>
      <w:r>
        <w:rPr>
          <w:rFonts w:ascii="Times New Roman" w:cs="Times New Roman" w:eastAsia="Times New Roman" w:hAnsi="Times New Roman"/>
          <w:sz w:val="18"/>
          <w:szCs w:val="18"/>
          <w:color w:val="auto"/>
        </w:rPr>
        <w:t>19,856</w:t>
      </w:r>
    </w:p>
    <w:p>
      <w:pPr>
        <w:spacing w:after="0" w:line="2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(8,603)</w:t>
      </w:r>
      <w:r>
        <w:rPr>
          <w:sz w:val="20"/>
          <w:szCs w:val="20"/>
          <w:color w:val="auto"/>
        </w:rPr>
        <w:tab/>
      </w:r>
      <w:r>
        <w:rPr>
          <w:rFonts w:ascii="Times New Roman" w:cs="Times New Roman" w:eastAsia="Times New Roman" w:hAnsi="Times New Roman"/>
          <w:sz w:val="18"/>
          <w:szCs w:val="18"/>
          <w:color w:val="auto"/>
        </w:rPr>
        <w:t>(6,582)</w:t>
      </w:r>
    </w:p>
    <w:p>
      <w:pPr>
        <w:spacing w:after="0" w:line="36" w:lineRule="exact"/>
        <w:rPr>
          <w:sz w:val="20"/>
          <w:szCs w:val="20"/>
          <w:color w:val="auto"/>
        </w:rPr>
      </w:pPr>
    </w:p>
    <w:p>
      <w:pPr>
        <w:sectPr>
          <w:pgSz w:w="11900" w:h="16838" w:orient="portrait"/>
          <w:cols w:equalWidth="0" w:num="2">
            <w:col w:w="8600" w:space="720"/>
            <w:col w:w="19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Financing related costs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(2,965)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3,249</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(4,633)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transaction loss, net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including transaction costs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1,043</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(8,462)</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(7,560)</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(15,044)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78"/>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(15,158</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26,518,476</w:t>
            </w: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17,934,218</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(15,167</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80" w:right="840" w:hanging="2472"/>
        <w:spacing w:after="0" w:line="372"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Reflects an adjustment of $157,000 to the income tax provision during the year ended December 31, 2024. See further discussion in Note 1. </w:t>
      </w: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19"/>
                <w:szCs w:val="19"/>
                <w:color w:val="auto"/>
              </w:rPr>
            </w:pPr>
          </w:p>
        </w:tc>
        <w:tc>
          <w:tcPr>
            <w:tcW w:w="1900" w:type="dxa"/>
            <w:vAlign w:val="bottom"/>
            <w:gridSpan w:val="4"/>
            <w:vMerge w:val="restart"/>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4120" w:type="dxa"/>
            <w:vAlign w:val="bottom"/>
          </w:tcPr>
          <w:p>
            <w:pPr>
              <w:spacing w:after="0"/>
              <w:rPr>
                <w:sz w:val="20"/>
                <w:szCs w:val="20"/>
                <w:color w:val="auto"/>
              </w:rPr>
            </w:pPr>
          </w:p>
        </w:tc>
        <w:tc>
          <w:tcPr>
            <w:tcW w:w="1900" w:type="dxa"/>
            <w:vAlign w:val="bottom"/>
            <w:tcBorders>
              <w:bottom w:val="single" w:sz="8" w:color="auto"/>
            </w:tcBorders>
            <w:gridSpan w:val="4"/>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gridSpan w:val="4"/>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17"/>
                <w:szCs w:val="17"/>
                <w:b w:val="1"/>
                <w:bCs w:val="1"/>
                <w:color w:val="auto"/>
                <w:w w:val="97"/>
              </w:rPr>
              <w:t>Capital</w:t>
            </w:r>
            <w:r>
              <w:rPr>
                <w:rFonts w:ascii="Times New Roman" w:cs="Times New Roman" w:eastAsia="Times New Roman" w:hAnsi="Times New Roman"/>
                <w:sz w:val="28"/>
                <w:szCs w:val="28"/>
                <w:b w:val="1"/>
                <w:bCs w:val="1"/>
                <w:color w:val="auto"/>
                <w:w w:val="97"/>
                <w:vertAlign w:val="superscript"/>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301"/>
              <w:spacing w:after="0" w:line="243" w:lineRule="exact"/>
              <w:rPr>
                <w:sz w:val="20"/>
                <w:szCs w:val="20"/>
                <w:color w:val="auto"/>
              </w:rPr>
            </w:pPr>
            <w:r>
              <w:rPr>
                <w:rFonts w:ascii="Times New Roman" w:cs="Times New Roman" w:eastAsia="Times New Roman" w:hAnsi="Times New Roman"/>
                <w:sz w:val="17"/>
                <w:szCs w:val="17"/>
                <w:b w:val="1"/>
                <w:bCs w:val="1"/>
                <w:color w:val="auto"/>
              </w:rPr>
              <w:t>Deficit</w:t>
            </w:r>
            <w:r>
              <w:rPr>
                <w:rFonts w:ascii="Times New Roman" w:cs="Times New Roman" w:eastAsia="Times New Roman" w:hAnsi="Times New Roman"/>
                <w:sz w:val="28"/>
                <w:szCs w:val="28"/>
                <w:b w:val="1"/>
                <w:bCs w:val="1"/>
                <w:color w:val="auto"/>
                <w:vertAlign w:val="superscript"/>
              </w:rPr>
              <w:t>(1)</w:t>
            </w:r>
          </w:p>
        </w:tc>
        <w:tc>
          <w:tcPr>
            <w:tcW w:w="180" w:type="dxa"/>
            <w:vAlign w:val="bottom"/>
          </w:tcPr>
          <w:p>
            <w:pPr>
              <w:spacing w:after="0"/>
              <w:rPr>
                <w:sz w:val="21"/>
                <w:szCs w:val="21"/>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16,294,935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the SEPA</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1,744,694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under convertible note - related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party</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540,996</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3,603,298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281,857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129,097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(15,158)</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(15,158)</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2024</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22,594,877</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40,973</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(48,229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and warrants (net of $158K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2,068,846</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to pay convertible debt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610,426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 (net of $19K issuance costs)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310,925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and pre-funded warrants (net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$4K issuance costs)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3,065,000</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525,277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109,698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exercises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1,403,846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(7,571)</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0" w:type="dxa"/>
            <w:vAlign w:val="bottom"/>
          </w:tcPr>
          <w:p>
            <w:pPr>
              <w:spacing w:after="0"/>
              <w:rPr>
                <w:sz w:val="1"/>
                <w:szCs w:val="1"/>
                <w:color w:val="auto"/>
              </w:rPr>
            </w:pPr>
          </w:p>
        </w:tc>
      </w:tr>
      <w:tr>
        <w:trPr>
          <w:trHeight w:val="27"/>
        </w:trPr>
        <w:tc>
          <w:tcPr>
            <w:tcW w:w="4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120" w:type="dxa"/>
            <w:vAlign w:val="bottom"/>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30,688,895</w:t>
            </w:r>
          </w:p>
        </w:tc>
        <w:tc>
          <w:tcPr>
            <w:tcW w:w="860" w:type="dxa"/>
            <w:vAlign w:val="bottom"/>
            <w:gridSpan w:val="2"/>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50,030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2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an adjustment of $126,000 as compared to previously reported amounts as of December 31, 2024. Reflects an adjustment of $(157,000) in Additional Paid in Capital and ($283,000) in Accumulated Deficit as of December 31, 2023. See further discussion in Note 1.</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10"/>
              <w:spacing w:after="0" w:line="256"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(7,571)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from issuance of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shares for borrowing related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allocated to Avenue Warrants, Investor Warrants, and Hudson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of issuance costs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8,285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12,096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of borrowing costs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 -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notes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(1,529)</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warrant exercises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2,526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5,157</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5,157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Cash paid for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 disclosure: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Right-of-use assets and related lease liabilities upon lease amendment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Tenant improvement allowance payments made by the lessor directly to a third party</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Issuance of common stock to settle accounts and notes payable</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Short-term financing of insurance premium</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an adjustment of $157,000 to net loss and an adjustment of $(157,000) in the change in other assets during the year ended December 31, 2024. See further discussion in Note 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Spectral AI, Inc., a Delaware corporation formerly known as Rosecliff Acquisition Corp I (“Spectral AI” or the “Company”) was formed as a blank check company on November 17, 2020. On September 11, 2023, the Company consummated a business combination (the “Business Combination”) pursuant to the business combination agreement dated April 11, 2023, by and among the Company, Ghost Merger Sub I, a Delaware Corporation, Ghost Merger Sub II, a Delaware corporation and Spectral MD Holdings, Ltd., a Delaware corporation. At the time of the Business Combination, 8,433,333 redeemable warrants issued to the public in Rosecliff Acquisition Corp I’s initial public offering (the “Public Warrants”) remained outstanding. On September 12, 2023, the Company began trading the Company Common Stock and the Public Warrants on the NASDAQ Capital Market (“NASDAQ”) under the symbols “MDAI” and “MDAIW”, respectively. Prior to the Business Combination, the Company’s shares of Company Common Stock and Public Warrants were listed on the NASDAQ under the symbols “RCLF” and “RCLFW”,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artificial intelligence (“AI”) company focused on predictive medical diagnostics. Our DeepView System uses proprietary AI algorithms to distinguish between fully damaged, partially damaged and healthy human tissue characters invisible to the naked eye, at the initial time point of wound presentation. The DeepView System delivers a binary prediction on the wounds capacity to heal by a specified time point in the future. Our DeepView System’s output is specifically engineered to assist the physician in making a more accurate, timely and informed decision regarding the treatment of the patient’s wounds.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Spectral AI is devoting substantially all of its efforts towards research and development of its DeepView Wound Imaging System, currently focused on burn wounds, specifically engineered to allow physicians to make a more accurate, timely and informed decision for treatment options. The Company has not 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Medical Technology Enterprise Consortium (“MTEC”).</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Project BioShield (“PBS”) contract, valued at up to approximately $150.0 million (the “PBS BARDA Contract”). This multi-year contract includes an initial award of nearly $54.9 million to support the clinical validation and FDA clearance of our DeepView System for commercial development and distribution purposes. The PBS BARDA Contract also includes options, similar to our prior BARDA contracts, with an additional total value of approximately $95.1 million which can be exercised for additional product development, procurement and the expanded deployment of DeepView Systems at emergency rooms, trauma and burn centers. The Company completed the second contract with BARDA, referred to as BARDA Burn II, which was signed in July 2019 and completed in November 2023. Under this contract, the Company furthered the DeepView System design, developed the AI algorithm, and took steps to obtain FDA approval. As of December 31, 2025, the Company has $5.3 million remaining to bill under the initial award under the PBS BARDA Contract.</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April 2023, the Company received a $4.0 million grant from MTEC for a project that is expected to be completed in 2026 (the “MTEC Agreement”). The MTEC Agreement is for the development of a handheld version of the DeepView System which is to be used to support military battlefield burn evaluation. The project has three phases, beginning with planning, design and testing; followed by development, design modification and buildout of the handheld device; and then the manufacturing of the handheld device. In August 2024, the MTEC award was increased to $4.9 million and was extended to run through December 2025 with funding dependent on various milestones. In December 2025, the MTEC contract was extended to run through June 2026. In March 2024, we received an additional $0.5 million award from the Defense Health Agency to further this development. As of December 31, 2025, the Company has $1.6 million and $0.05 million remaining to bill under the MTEC and DHA awards,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Inc., a Delaware corporation (“Spectral IP”), to be utilized to advance artificial intelligence intellectual property with a specific emphasis on healthcare. On March 19, 2024, the Company announced that Spectral IP received a $1.0 million investment from an affiliate of its largest shareholder for the development of its artificial intelligence intellectual property portfolio. The investment is structured as a note payable with a one-year maturity, an interest rate of 8%, and requiring earlier prepayment if the Company spins off Spectral IP to the Company’s shareholders or if Spectral IP is sold to a third party.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 2024, the note was amended to (i) reduce the annual interest rate from 8% to 4%, (ii) extend the term of the note through the second anniversary of the issuance date, March 18, 2026, (iii) include a conversion feature at the option of either the holder or Spectral IP to convert the then outstanding principal and accrued but unpaid interest into shares of the Company at any time (into such number of shares calculated by taking a five percent (5.00%) discount to the closing price of the Company’s common stock on the day prior to the date of notice to the Company of the exercise of the conversion right) and at maturity, respectively, and (iv) provide for registration rights of any shares of the Company issued in satisfaction of the outstanding obligations.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 2024, Spectral IP amended its existing $1,000,000 promissory note to extend the term from one to two years, reduce the interest rate from 8.00% to 4.00% per annum and to provide a conversion feature for shares of the Company’s common stock in satisfaction of the outstanding principal and accrued but unpaid interest. The holder of the Spectral IP Note exercised a number of conversion rights throughout the fourth quarter of 2024 for the full conversion of the Spectral IP Note in exchange for a total of 540,996 shares of the Company’s common stock, which represents a 5.00% discount to the closing price of the Company’s shares of Common Stock on the day prior to the date of notice of the holder’s exercise of its conversion right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 of Prior Period Financial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previously disclosed, during the year ended December 31, 2023, management deferred certain costs associated with a stock offering which was completed during 2024, at which time the costs were recorded as a reduction of additional paid-in capital. Management subsequently determined that these costs should have been expensed during the fourth quarter of 2023. Accordingly, the Company has revised its consolidated statements of changes in stockholders’ equity (deficit) as of December 31, 2024, and 2023 to increase both the accumulated deficit and additional paid-in capital by $283,000.</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during the third quarter of 2023 in conjunction with the accounting for the Business Combination, the Company recognized an income tax receivable asset which should not have been recorded due to uncertainties about collectability. This receivable was written off during the fourth quarter of 2024 through income tax expense. Accordingly, the Company has revised its consolidated statement of changes in stockholders’ deficit to reduce both the accumulated deficit and additional paid-in capital by $157,000 as of December 31, 2024 and to reduce additional paid in capital by $157,000 as of December 31, 2023. The Company has revised its consolidated statements of operations and comprehensive loss for the year ended December 31, 2024 to reduce income tax provision and net loss by $157,000 and to revise the net loss per share accordingly as well.</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effect of the two corrections described above is a $126,000 increase to both the accumulated deficit and additional paid-in capital as of December 31, 2024, and 2023. The Company has determined that the errors were immaterial to all impacted periods and has corrected the impacted periods as an immaterial correction of an error.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common to development stage companies in the medical technology industry, including, but not limited to, risks of failure of preclinical studies and clinical trials, dependence on key personnel, protection of proprietary technology, reliance on third party organizations, risks of obtaining regulatory approval for any products that it may develop, development by competitors of technological innovations, compliance with government regulations and the need to obtain additional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approximately $15.4 million in cash, and an accumulated deficit of $55.8 million. As of December 31, 2025, the Company had approximately $8.4 million in notes payable, of which $5.5 million is long-term. See Note 6.</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24, 2025, the Company completed an equity financing and entered into a long-term debt financing agreement with Avenue Venture Opportunities Fund II, L.P., a fund of Avenue Capital Group (the “Avenue Financing”), which provides for the ability to borrow up to $15.0 million with an initial draw-down of $8.5 million, and the remaining availability is contingent upon, among other things, FDA clearance of the DeepView System, see Note 6.</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22, 2025, the Company entered into a securities purchase agreement, by and between Spectral AI, Inc. and Hudson Bay Master Fund Ltd., which provided for the issuance and sale of 3.1 million shares of Common Stock, at an offering price of $1.90 per share. In addition, in a concurrent private placement, the Company issued and sold warrants for the purchase of up to 4.0 million shares of Common Stock and pre-funded warrants to purchase up to 0.9 million shares of common stock, for aggregate gross proceeds of $7.6 million (such transaction, the “Hudson Bay Financing”). Each warrant has an exercise price per share of $2.51 and will be exercisable on the earlier of (a) the effective date of stockholder approval for the issuance of shares of Common Stock underlying the warrants and (b) the date that is six months following the issuance date of the warrants and will have a term of five (5) years from the initial issuance date.. See Note 2 for further information.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18, 2026, the Company announced that it has received a contract modification from BARDA for the advancement of $31.7 million from its existing contract with BARDA which included (i) a no-cost extension of the base phase of the contract, and (ii) the acceleration of certain parts of the next phase of such contract. As part of this funding advance, the Company has committed to fund $9.7 million of the total overall development costs associated with these feature advancements. This funding comes as part of an ongoing partnership with BARDA, which has committed $54.9 million to date under the contract with an overall value of approximately $150 million.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2025, based on our current operating plan, we believe that our cash and cash equivalents, together with the PBS BARDA Contract, the MTEC Agreement, the Avenue Financing, the Hudson Bay Financing, the Yorkville SEPA and certain research and development cost-saving measures, the Company believes it has, sufficient working capital to fund operations for at least one year beyond the release date of the consolidated financial statements. We have based this determination on assumptions that may prove to be wrong, and we could utilize our available capital resources sooner than we currently expect. Changing circumstances could also cause us to consume capital significantly faster than we currently anticipate, and we may need to raise capital sooner or in greater amounts than currently expected because of circumstances beyond our control. To the extent additional capital is necessary, there are no assurances that we will be able to raise additional capital on favorable terms or at all, and therefore we may not be able to execute our business plans and the continued work on indications beyond expanding our burn indication.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conformity with U.S. generally accepted accounting principles (“GAAP”) as determined by the Financial Accounting Standards Board (“FASB”) Accounting Standards Codification (“ASC”) or an Accounting Standards Update (“ASU”).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Spectral MD Holdings LLC, Spectral MD Inc., Spectral MD UK Limited (“Spectral MD UK”), Spectral IP, Inc. and Spectral DeepView Limited. Spectral DeepView Limited was dissolved in February 2026. Significant inter-company transactions and balances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consolidated financial statements and accompanying notes.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revenue recognition (including the measure of progress of completion), warrant liabilities, the fair value of short term notes payable, fair value of the B. Riley and Yorkville derivative instruments, stock-based compensation expense, stock issued for transaction costs, the net realizable value of inventory, right-of-use assets, and income tax valuation allowances. Actual results could differ from these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decision-maker in deciding how to allocate resources and assess performance. The Chairman of the Board in conjunction with the Company’s executive management team manages the Company’s operations on an aggregate basis for the purpose of allocating resources.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one operating segment. The accounting policies of the Company’s single operating and reportable segment are the same as those described in the summary of significant accounting policies.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method for measuring profitability includes net income (loss), which the chief operating decision-maker uses to assess performance and make decisions for resource allocation, consistent with the measurement principals for net income(loss) as reported on the Company’s consolidated statement of operations. The significant expenses regularly reviewed by the chief operating decision-maker are consistent with those reported on the Company’s consolidated statement of operations, and expenses are not regularly reviewed on a more disaggregated basis for purposes of assessing segment performance and deciding how to allocate resources. The measure of segment assets is reported on the consolidated balance sheets as total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All cash is held in US and UK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Accounts receivable represent amounts due from US government agencies pursuant to research and development contracts associated with the Company’s DeepView System.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the collectability of its receivables based on a variety of factors, including the length of time the receivables are past due, the financial health of its customers and historical experience. Based upon the review of these factors, the Company recorded no allowance for credit losses as of December 31, 2025 and December 31, 2024.</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third-party costs that are prepaid per the terms of the contract are billable to customers prior to recognition of related expenses. The Company records deferred revenue when the customers have been billed prior to recognizing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principally of cash and accounts receivable. Primarily all cash is held in US financial institutions which, at times, exceed federally insured limits. The Company has not recognized any losses from credit risks on such accounts. The Company believes it is not exposed to significant credit risk on cash.</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 credit risk is related to the Company’s concentration of receivables. As of December 31, 2025 and December 31, 2024, receivables were concentrated from one customer (which is a US. government agency) representing 100% and 85% of total net receivables, respectively.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One customer (which is a U.S. government agency) accounted for 90% for the year ended December 31, 2025 and 94% for the year ended December 31, 2024 of the recognized research and development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Inventory is comprised of finished goods, purchased from a third-party manufacturer, and is stated at the lower of cost (average cost) or net realizable value. For the year ended December 31, 2025, the Company did not have write-downs for obsolete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assessable at the measurement date for identical, unrestricted assets or liabilities.</w:t>
      </w:r>
    </w:p>
    <w:p>
      <w:pPr>
        <w:spacing w:after="0" w:line="225"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that are observable, either directly or indirectly, for substantially the full term of the asset or liability; and</w:t>
      </w:r>
    </w:p>
    <w:p>
      <w:pPr>
        <w:spacing w:after="0" w:line="162"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(supported by little or no market activity).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reporting currency for the consolidated financial statements of the Company is the US dollar. The functional currency of the Company and its wholly-owned subsidiaries Spectral MD Holdings LLC, Spectral MD, Inc., and Spectral IP is the US dollar. The functional currency of Spectral MD UK is its local currency, the British pound. The functional currency of Spectral DeepView Limited was its local currency, the Euro. The assets and liabilities of Spectral MD UK and Spectral DeepView Limited, are translated into US. dollars at exchange rates in effect at the end of each reporting period, and the revenues and expenses are translated at average exchange rates in effect during the applicable reporting period. Spectral DeepView Limited was dissolved in February 2026. Translation adjustments are included in accumulated other comprehensive income as a component of stockholders’ equity. As of December 31, 2025 and December 31, 2024, the Company’s translation adjustments are not material.</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US dollar are translated at exchange rates in effect as of the balance sheet date. Resulting unrealized gains and losses are included in other income (expense), net in the consolidated statements of operations. For the year ended December 31, 2025, the Company recorded approximately $34,000 of net foreign exchange transaction losses. For the year ended December 31, 2024, the Company recorded approximately $43,000 of net foreign exchange transaction losses. These amounts primarily relate to one of the Company’s bank accounts being denominated in British Pounds and certain accounts payable denominated in British Pounds.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net is recorded at cost less accumulated depreciation. Depreciation expense is recorded using the straight-line method over the estimated useful lives of the related assets, which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40" w:type="dxa"/>
            <w:vAlign w:val="bottom"/>
            <w:tcBorders>
              <w:bottom w:val="single" w:sz="8" w:color="CCEEFF"/>
            </w:tcBorders>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198"/>
        </w:trPr>
        <w:tc>
          <w:tcPr>
            <w:tcW w:w="8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Shorter of remaining lease term or</w:t>
            </w:r>
          </w:p>
        </w:tc>
      </w:tr>
      <w:tr>
        <w:trPr>
          <w:trHeight w:val="234"/>
        </w:trPr>
        <w:tc>
          <w:tcPr>
            <w:tcW w:w="8440" w:type="dxa"/>
            <w:vAlign w:val="bottom"/>
            <w:shd w:val="clear" w:color="auto" w:fill="CCEEFF"/>
          </w:tcPr>
          <w:p>
            <w:pPr>
              <w:spacing w:after="0"/>
              <w:rPr>
                <w:sz w:val="20"/>
                <w:szCs w:val="20"/>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432"/>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and 2024 was $71,000 and $10,000, respectively.</w:t>
            </w:r>
          </w:p>
        </w:tc>
        <w:tc>
          <w:tcPr>
            <w:tcW w:w="2800" w:type="dxa"/>
            <w:vAlign w:val="bottom"/>
          </w:tcPr>
          <w:p>
            <w:pPr>
              <w:spacing w:after="0"/>
              <w:rPr>
                <w:sz w:val="24"/>
                <w:szCs w:val="24"/>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Purchased assets that are not yet in service are recorded to construction-in-process and no depreciation expense is recorded. Once they are placed in service, they are reclassified to the appropriate asset class. When assets are retired or otherwise disposed of, the assets and related accumulated depreciation are eliminated from the accounts and any resulting gain or loss is reflected in the Company’s consolidated statements of operation and comprehensive loss. Expenditures for maintenance and repairs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not be recoverable. If circumstances require that a long-lived asset or asset group be tested for impairment, the Company first compares the estimated undiscounted future cash flows expected to result from the use or disposition of that asset or asset group to its carrying amount. If the carrying amount of the long-lived asset or asset group is not recoverable on an undiscounted cash flow basis, an impairment loss would be recognized to the extent the carrying value exceeds its fair value. Fair value is determined through various valuation techniques including discounted cash flow models, quoted market prices and third-party independent appraisals, as considered necessary.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lease guidance, arrangements meeting the definition of a lease are classified as operating or financing leases. Operating leases are recorded in the consolidated balance sheets as both a right-of-use asset and a lease liability, calculated by discounting fixed lease payments at the rate implicit in the lease or the Company’s incremental borrowing rate factoring the term of the lease. The incremental borrowing rate used by the Company is an estimate of the interest rate the Company would incur to borrow an amount equal to the lease payments on a collateralized basis over the term of the lease. Because the Company does not generally borrow on a collateralized basis, it uses the interest rate it pays on its noncollateralized borrowings as an input to deriving an appropriate incremental borrowing rate, adjusted for the amount of lease payments, the lease term and the effect on that rate of designating specific collateral with a value equal to the unpaid lease payments for that lease.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 In calculating the right-of-use assets and lease liabilities, the Company has elected to combine lease and non-lease components. The Company excludes short-term leases having initial terms of 12 months or less from the requirement to capitalize right-of-use assets and liabilities as an accounting policy election.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did not have any financing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On September 11, 2023, in conjunction with the Business Combination, the Company assumed the Public Warrants which had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of $11.50 per share, are exercisable 30 days after the Business Combination and expire five years after the Business Combination or upon redemption. The Company may redeem the Public Warrants if the Company’s common stock equals or exceeds $18.00 per share for 20 trading days within a 30-trading day period ending on the third trading day prior to the date on which the Company sends the notice of redemption to the holders of Public Warrants. In November 2024, the Company amended the Public Warrants to have an exercise price of $2.75 per share. As of December 31, 2025, there are 8,433,333 Public Warrants Outstanding. Each warrant entitles the registered holder to purchase one share of Company Common Stock at an exercise price of $2.75 per full share. Pursuant to the Warrant Agreement, a holder of Public Warrants may exercise its Public Warrants only for a whole number of shares of Company Common Stock. This means that only a whole warrant may be exercised at any given time by a holder of Public Warrants. The Company maintains a redemption right with respect to the Public Warrants in that the Company can redeem some or all of the Public Warrants for $0.10 per Public Warrant based on certain market conditions and the market price of the Company Common Stock.</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Angel Warrants</w:t>
      </w:r>
      <w:r>
        <w:rPr>
          <w:rFonts w:ascii="Times New Roman" w:cs="Times New Roman" w:eastAsia="Times New Roman" w:hAnsi="Times New Roman"/>
          <w:sz w:val="18"/>
          <w:szCs w:val="18"/>
          <w:color w:val="auto"/>
        </w:rPr>
        <w:t>: In September 2021, Legacy Spectral issued 73,978 warrants, with a strike price of $7.75 and a five-year life, to SP Angel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LLP (“SP Angel”), who acted as nominated adviser and broker to the Company for the purposes of the AIM Rules (“Angel Warrants”). In conjunction with the Business Combination, the Angel Warrants were converted into warrants to purchase Company Common Stock based on the Exchange Ratio. As of December 31, 2025, there are 73,978 Angel Warrants to purchase Company Common Stock outstanding.</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its Public Warrants and the Angel Warrants as derivative liabilities. Accordingly, the Company recognizes the instruments as liabilities at fair value, determined using the closing price of the observable market quote in an active market (the NASDAQ) for the Public Warrants and the Black-Scholes option-pricing model for the Angel Warrants, and adjusts the instruments to fair value at the end of each reporting period. The liabilities are subject to re-measurement at each balance sheet date until exercised, redeemed or expired, and any change in fair value is recognized in the Company’s consolidated statements of operations within other income (expense).</w:t>
      </w:r>
    </w:p>
    <w:p>
      <w:pPr>
        <w:spacing w:after="0" w:line="18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Investor Warrants</w:t>
      </w:r>
      <w:r>
        <w:rPr>
          <w:rFonts w:ascii="Times New Roman" w:cs="Times New Roman" w:eastAsia="Times New Roman" w:hAnsi="Times New Roman"/>
          <w:sz w:val="18"/>
          <w:szCs w:val="18"/>
          <w:color w:val="auto"/>
        </w:rPr>
        <w:t>: On March 21, 2025, the Company entered into purchase agreements with certain stockholders for the sale of an aggregate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2,068,846 shares of Common Stock, at an offering price of $1.30 per Share (the “Purchase Agreements”). In a concurrent private placement pursuant to the Purchase Agreements (the “Private Placement”), the Company agreed to sell to the investors an aggregate of 2,068,846 warrants to purchase shares of Common Stock at an exercise price of $1.80 per share (the “Investor Warrants”). The Investor Warrants, along with the shares of Common Stock issuable upon the exercise of the Investor Warrants, were offered pursuant to the exemptions provided in Section 4(a)(2) under the Securities Act of 1933, as amended (the “Securities Act”). No consideration was received by the Company for the issuance of the Investor Warrants.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Investor Warrants issued in connection with the Purchase Agreements are exercisable any time on or after March 20, 2025 (the “Issuance Date”) and on or prior to the close of business on the third anniversary of the Issuance Date. Additionally, the Investor Warrants issued in connection with the Purchase Agreements contain adjustment provisions in the event of (i) stock dividends and split, (ii) reclassifications of securities, (iii) issuance of Common Stock or Common Stock Equivalents (as defined in the Purchase Agreements), (iv) pro rata distributions, (v) Fundamental Transactions (as defined in the Warrants), and (vi) subsequent equity sales of shares of common stock or common stock equivalents for a consideration per share less than a price equal to $1.30, subject to a floor of $0.65 per share. The Investor Warrants issued in connection with the Purchase Agreements also include a “Most Favored Nation” clause which grants the holders of such Investor Warrants the right, in their sole discretion, to elect to receive more favorable terms and conditions given to a subsequent investor in a subsequent financing transaction (including, but not limited to, a lower purchase price per share, a higher warrant coverage percentage, a lower warrant exercise price, a longer warrant exercise period, more favorable anti-dilution protections, preferential liquidation rights, enhanced voting rights, reduced fees or commissions, more advantageous registration rights, or the inclusion of additional incentives such as cash bonuses, dividend preferences, or equity sweeteners). The Investor Warrants were determined to be liability classified instruments, as certain terms preclude them from being considered indexed to the Company’s Common Stock. The gross proceeds of the Private Placement and Investor Warrants of $2.7 million were allocated to the Investor Warrants based on their fair value at issuance of $2.2 million, with the residual gross proceeds of $0.5 million allocated to the Common Stock. Total issuance costs incurred of $0.2 million were allocated between the Investor Warrants and Common Stock issued. Issuance costs allocated to the Investor Warrants of $43,000 were expensed during the year ended December 31, 2025 as financing related costs in the consolidated statement of operations and comprehensive loss. Issuance costs allocated to the Common Stock of $152,000 were recorded in additional paid-in-capital.</w:t>
      </w:r>
    </w:p>
    <w:p>
      <w:pPr>
        <w:spacing w:after="0" w:line="1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2025, 915,000 Investor Warrants, (the “Amended Investor Warrants”) were amended and restated. The amendment extended the contractual term such that the Amended Investor Warrants are exercisable any time on or prior to the close of business on the fifth anniversary of the Issuance Date and resulted in $137,000 increase in the fair value of the warrants recognized as additional expense in the change in fair value of warrant liabilities in the consolidated statement of operations and comprehensive loss.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1,403,846 Investor Warrants were exercised. The warrants were remeasured to fair value immediately prior to exercise and the carrying amount of the warrant liability was derecognized and reclassified to additional paid-in-capital. Any proceeds received from exercise were recognized in stockholders’ equity. The exercise of warrants resulted in an increase to stockholders’ equity of $4.7 million. As of December 31, 2025, there were 665,000 Investor Warrants to purchase Common Stock outstanding.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Avenue Warrants: On March 24, 2025, the Company completed the Avenue Financing, with an initial draw-down of $8.5 million. As part of the Avenue Financing the Company issued 768,072 warrants to Avenue Capital Group which was equal to 8.5% of the total funding commitment (the “Avenue Warrants”). The Avenue Warrants have an exercise price equal to the lower of $1.66 per share and the lowest price per share paid to the Company in cash for common stock through December 31, 2025. The Avenue Warrants were determined to be classified as a liability instrument as certain terms preclude them from being considered indexed to the Company’s Common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net proceeds of Avenue Financing of $8.3 million were first allocated to the fair value of the Avenue Warrants, with the residual proceeds being allocated to the debt. The difference between debt proceeds and the amount of those proceeds allocated to debt gave rise to a debt discount of $0.7 million. The discount amount due to the Avenue Warrants of $0.7 million along with the loan fees allocated to the loan of $1.0 million, which includes the final payment of $0.8 million, for an aggregate debt discount and debt issuance costs of $1.7 million, will be amortized as interest expense through maturity using the effective interest method. The portion of loan fees allocated to the Avenue Warrants, of $22,000, were expensed during the year ended December 31, 2025 as financing related costs in the consolidated statement of operations and comprehensive loss.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there were 768,072 Avenue Warrants to purchase Common Stock outstanding.</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Hudson Warrants: On October 22, 2025, the Company entered into a securities purchase agreement with a certain investor for the sale of 3,065,000 shares of Common Stock, at an offering price of $1.90 per Share (the “Offering”). In a concurrent private placement pursuant to the purchase agreement, the Company agreed to sell to the investor (i) warrants (the “Hudson Warrants”) to purchase up to 4,000,000 shares of Common Stock, and (ii) pre-funded warrants (the “Pre-Funded Warrants”) to purchase up to 935,000 shares of Common Stock. Each Hudson Warrant has an exercise price per share of $2.51, will exercisable on the earlier of (a) the effective date of stockholder approval for the issuance of shares of Common Stock underlying the warrants and (b) the date that is six months following the issuance date of the warrants and will have a term of five years from the initial issuance date. Each Pre-Funded Warrant has a purchase price of $1.8999, an exercise price per share of $0.0001, is exercisable immediately and may be exercised at any time until such Pre-Funded Warrant is exercised in full. The Hudson Warrants and the Pre-Funded Warrants, along with the shares of Common Stock issuable upon the exercise of the warrants, are being offered pursuant to the exemptions provided in Section 4(a)(2) under the Securities Act of 1933, as amended.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Hudson Warrants and Pre-Funded Warrants contain adjustment provisions in the event of (i) stock dividends and split, (ii) pro rata distributions, and (iii) Fundamental Transactions (as defined in the warrant agreements). In the event of a Fundamental Transaction not in the Company’s control, the holders of the Warrants have the right to require the Company or a successor entity to redeem the Hudson Warrants for cash in the amount of the Black Scholes Value (as defined in the warrant agreements). The Hudson Warrants contain further adjustment provisions in the event of the (i) subsequent equity sales of shares of common stock or common stock equivalents for a consideration per share less than a price equal to $2.51 (ii) changes in the exercise price or rate of conversion of equity sales or convertible securities any time prior to the two-year anniversary of the stockholder approval date, subject to a floor of $0.48 per share. The Hudson Warrants were determined to be liability classified instruments, as certain terms preclude them from being considered indexed to the Company’s Common Stock. The Pre-Funded Warrants were determined to be equity classified instruments, as they are considered indexed to the Company’s stock and do not contain any provisions that preclude equity classification. The gross proceeds of the Offering and private placement of $7.6 million were allocated to the Hudson Warrants based on their fair value at issuance of $7.5 million, with the residual gross proceeds of $0.1 million allocated between the Common Stock and Pre-Funded Warrants based on their relative fair value. Total issuance costs incurred of $0.6 million were allocated between the warrants and Common Stock issued. Issuance costs allocated to the Hudson Warrants of $0.6 million were expensed during the year ended December 31, 2025 as financing related costs in the consolidated statement of operations and comprehensive loss. Issuance costs allocated to the Common Stock and Pre-Funded Warrants of less than $0.1 million were recorded in additional paid-in-capital.</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there were 4,000,000 Hudson Warrants and 935,000 Pre-Funded Warrants to purchase Common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accordance with ASC 606, Revenue from Contracts with Customers. ASC 606 requires the Company to identify the contract with a customer, identify the performance obligations, determine and allocate the transaction price, and recognize revenue when, or as, performance obligations are satisfied.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generates research and development revenue primarily from contracts with the Biomedical Advanced Research and Development Authority (“BARDA”) and the Medical Technology Enterprise Consortium (“MTEC”). Each of the Company’s BARDA and MTEC arrangements contains a single performance obligation.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 with BARDA is a cost-plus-fee arrangement related to the research, development, clinical validation, regulatory advancement and commercialization of the Company’s DeepView® System, which represents an output of the Company’s ordinary activities. Accordingly, the Company has concluded that BARDA is a customer within the scope of ASC 606.</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these arrangements, BARDA reimburses the Company for allowable costs incurred which are subject to contractual ceilings. Costs are reimbursed under the incurred costs method of inputs for satisfying obligations over time that are allowable under the contract.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contains a single performance obligation consisting of a bundled promise to perform research and development activities necessary to develop and advance the DeepView® System. The Company has determined that the BARDA contracts do not contain a financing component.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contract, BARDA receives a non-exclusive, non-transferable, irrevocable, paid-up license to use the technology developed under the agreements, along with certain restrictions on the Company’s ability to transfer the developed technology and a right of first refusal in the event of a proposed sale for devices licensed under the agreement. While the Company retains ownership of the underlying intellectual property, these provisions provide BARDA with substantive and enforceable rights to the outputs of the Company’s research and development activities, supporting the conclusion that the arrangements are contracts with a customer under ASC 606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3" w:name="page94"/>
    <w:bookmarkEnd w:id="9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receive funding from a contract by the DHA within the U.S. Department of Defense, which enables us to research and develop a fully portable, handheld version of our DeepView System. We were previously awarded a $1.1 million Sequential Phase II STTR contract by the DHA within the U.S. Department of Defense, which is paid to us monthly, as well as a STTR Phase I and initial Phase II contract from the DHA. In December 2025, the MTEC contract was extended through June 2026.</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MTEC Agreement provides for installment payments after the completion of milestone events. The installment payments are considered variable consideration as the entitlement depends on successful completion of research. However, the payments are not constrained from inclusion in the transaction price as it not probable that a significant reversal of cumulative revenue will be reversed when the underlying uncertainty is resolved. Revenue for the MTEC Agreement is recognized over time based upon the cost-to-cost measure of progress, using this input method to measure progress as the customer has the benefit of access to the development research under these projects and therefore benefits from the Company’s performance incrementally as research and development activities occur under each project. The Company measures progress of performance by comparing the actual costs incurred to-date to the total estimated cost of the project. The Company will adjust the measure of progress at the end of each reporting period and reflect any changes to the estimated cost of the project on a prospective basis. The Company records unbilled revenue when revenue is recognized prior to billing. As of December 31, 2025, the Company had approximately $1.6 million of billings remaining in 2026.</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not to adjust the transaction price for the effects of a significant financing component as the period between performance (satisfaction of a performance obligation) and payment is one year or less. Payments from customers are generally received within 30 days of when the invoice is 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These expenses include salaries for research and development personnel, consulting fees, product development, pre-clinical studies, clinical trial costs, and other fees and costs related to the development of the technology. For the years ended December 31, 2025 and 2024, research and development expense was $11.3 million and $19.3 million, respectively, of which $10.7 million and $16.1 million, respectively, is related to the combined BARDA, DHA and MTEC contracts and included in cost of revenue and $0.6 million and $3.2 million, respectively, is included in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non-employees, including grants of stock options and RSUs based on their respective grant date fair values. The Company estimates the fair value of stock option grants using the Black-Scholes option pricing model. The RSUs are valued based on the fair value of the Company’s common stock on the date of grant. The fair value of RSUs with market based vesting conditions were determined using a Monte-Carlo Simulation to reflect the effects of the market conditions. The assumptions used in calculating the fair value of the Company’s stock-based awards represent management’s best estimates and involve inherent uncertainties and the application of management’s judgment. The Company expenses stock-based compensation related to stock options and RSUs over the requisite service period. Forfeitures are recorded as they occur. Compensation previously recorded for unvested equity awards that are forfeited is reversed upon forfeiture. The Company expenses stock-based compensation to employees over the requisite service period, on a straight-line basis, based on the estimated grant-date fair value of the awards. For RSUs with market-based conditions, compensation is not reversed if these awards are forfeited based solely on failing to meet such market-based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its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has no uncertain tax positions as of December 31, 2025 and December 31, 2024 that qualify for either recognition or disclosure in the consolidated financial statements under this guidance.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policy is to classify assessments, if any, for tax related interest as interest expense and penalties as general and administrative expenses in the consolidated statements of operations. The Company did not have any interest and penalties during the years ended December 31, 2025 and 2024 and did not have any interest or penalties accrued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of 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the net loss attributable to common stockholders by the weighted-average number of shares of common stock outstanding during the period. Diluted net loss per share of common stock adjusts basic earnings per share for the potentially dilutive impact of unvested restricted stock, stock options and warrants. Securities having an anti-dilutive effect on diluted net earnings per share are excluded from the calculation. The dilutive effect of the unvested restricted stock and stock options is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Comprehensive income (loss) consists of net income (loss) and other comprehensive income (loss), which includes foreign currency translation adjustments. For the purposes of comprehensive income (loss) disclosures, the Company does not record deferred taxes for the net changes in the foreign currency translation adjustment, as it intends to indefinitely reinvest undistributed earnings of its foreign subsidiaries. Accumulated other comprehensive income (loss) is reported as a component of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more detailed income tax disclosures, requiring entities to disclose disaggregated information about their effective tax rate reconciliation as well as expanded information on income taxes paid by jurisdiction. The Company adopted this guidance prospectively in the year ended December 31, 2025 with no material impact on the consolidated financial statements and disclosures, see Note 11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(“ASU 2023-06”), which modifies certain disclosure and presentation requirements of a variety of Topics in the Codification and is intended to both clarify or improve such requirements and align the requirements with the SEC’s regulations. The effective date for each amendment is the effective date of the removal of the related disclosure from Regulation S-X or Regulation S-K, with early adoption prohibited. The Company will apply the provisions prospectively as such provisions become effective and does not expect ASU 2023-06 to have a material impact on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Reporting Comprehensive Income- Expense Disaggregation Disclosures (Subtopic 220-40), requiring public business entities to disclose additional information about specific expense categories in the notes to financial statements at interim and annual reporting periods. ASU 2024-03 is effective for fiscal years beginning after December 15, 2026, and interim reporting periods beginning after December 15, 2027, with early adoption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of adopting this guidance on its consolidated financial statements and disclosures.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2025, the FASB issued ASU No. 2025-05, Measurement of Credit Losses for Accounts Receivable and Contract Assets, (“ASU 2025-05”) which provides a practical expedient to measure credit losses on accounts receivable and contract assets. ASU 2025-05 is effective for fiscal years beginning after December 15, 2025, and interim reporting periods within those fiscal years, with early adoption permitted. The Company does not expect ASU 2025-05 to have a material impact on the consolidated financial statements and related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liabilities that are measured at fair value on a recurring basis as of December 31, 2025 and December 31, 2024, by level within the fair value hierarchy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20" w:type="dxa"/>
            <w:vAlign w:val="bottom"/>
            <w:gridSpan w:val="13"/>
          </w:tcPr>
          <w:p>
            <w:pPr>
              <w:ind w:left="640"/>
              <w:spacing w:after="0"/>
              <w:rPr>
                <w:sz w:val="20"/>
                <w:szCs w:val="20"/>
                <w:color w:val="auto"/>
              </w:rPr>
            </w:pPr>
            <w:r>
              <w:rPr>
                <w:rFonts w:ascii="Times New Roman" w:cs="Times New Roman" w:eastAsia="Times New Roman" w:hAnsi="Times New Roman"/>
                <w:sz w:val="18"/>
                <w:szCs w:val="18"/>
                <w:b w:val="1"/>
                <w:bCs w:val="1"/>
                <w:color w:val="auto"/>
              </w:rPr>
              <w:t>Fair value measured as of December 31, 2025</w:t>
            </w:r>
          </w:p>
        </w:tc>
      </w:tr>
      <w:tr>
        <w:trPr>
          <w:trHeight w:val="194"/>
        </w:trPr>
        <w:tc>
          <w:tcPr>
            <w:tcW w:w="4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Quoted prices</w:t>
            </w:r>
          </w:p>
        </w:tc>
        <w:tc>
          <w:tcPr>
            <w:tcW w:w="1600" w:type="dxa"/>
            <w:vAlign w:val="bottom"/>
            <w:tcBorders>
              <w:top w:val="single" w:sz="8" w:color="auto"/>
            </w:tcBorders>
            <w:gridSpan w:val="4"/>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6"/>
                <w:szCs w:val="16"/>
                <w:color w:val="auto"/>
              </w:rPr>
            </w:pPr>
          </w:p>
        </w:tc>
      </w:tr>
      <w:tr>
        <w:trPr>
          <w:trHeight w:val="216"/>
        </w:trPr>
        <w:tc>
          <w:tcPr>
            <w:tcW w:w="4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4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4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50"/>
        </w:trPr>
        <w:tc>
          <w:tcPr>
            <w:tcW w:w="4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7,738</w:t>
            </w:r>
          </w:p>
        </w:tc>
      </w:tr>
      <w:tr>
        <w:trPr>
          <w:trHeight w:val="20"/>
        </w:trPr>
        <w:tc>
          <w:tcPr>
            <w:tcW w:w="4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20" w:type="dxa"/>
            <w:vAlign w:val="bottom"/>
            <w:gridSpan w:val="13"/>
          </w:tcPr>
          <w:p>
            <w:pPr>
              <w:ind w:left="640"/>
              <w:spacing w:after="0"/>
              <w:rPr>
                <w:sz w:val="20"/>
                <w:szCs w:val="20"/>
                <w:color w:val="auto"/>
              </w:rPr>
            </w:pPr>
            <w:r>
              <w:rPr>
                <w:rFonts w:ascii="Times New Roman" w:cs="Times New Roman" w:eastAsia="Times New Roman" w:hAnsi="Times New Roman"/>
                <w:sz w:val="18"/>
                <w:szCs w:val="18"/>
                <w:b w:val="1"/>
                <w:bCs w:val="1"/>
                <w:color w:val="auto"/>
              </w:rPr>
              <w:t>Fair value measured as of December 31, 2024</w:t>
            </w:r>
          </w:p>
        </w:tc>
      </w:tr>
      <w:tr>
        <w:trPr>
          <w:trHeight w:val="194"/>
        </w:trPr>
        <w:tc>
          <w:tcPr>
            <w:tcW w:w="4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Quoted prices</w:t>
            </w:r>
          </w:p>
        </w:tc>
        <w:tc>
          <w:tcPr>
            <w:tcW w:w="1600" w:type="dxa"/>
            <w:vAlign w:val="bottom"/>
            <w:tcBorders>
              <w:top w:val="single" w:sz="8" w:color="auto"/>
            </w:tcBorders>
            <w:gridSpan w:val="4"/>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6"/>
                <w:szCs w:val="16"/>
                <w:color w:val="auto"/>
              </w:rPr>
            </w:pPr>
          </w:p>
        </w:tc>
      </w:tr>
      <w:tr>
        <w:trPr>
          <w:trHeight w:val="216"/>
        </w:trPr>
        <w:tc>
          <w:tcPr>
            <w:tcW w:w="4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4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4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Short-term notes payable- Yorkville</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r>
      <w:tr>
        <w:trPr>
          <w:trHeight w:val="27"/>
        </w:trPr>
        <w:tc>
          <w:tcPr>
            <w:tcW w:w="4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2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Level 1, 2 or 3 during the years ended December 31, 2025 and 2024.</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values of cash, accounts receivable, accounts payable, accrued expenses, and short-term debt are carried at cost, which management believes approximates fair value due to the short-term nature of these instruments. The fair value of the Public Warrants, which trade in active markets, is based on quoted market prices and classified in Level 1 of the fair value hierarchy. The Angel Warrants, Avenue Warrants, Investor Warrants and Hudson Warrants are classified within Level 3 of the fair value hierarchy because their fair values are based on significant inputs that are unobservable in the market.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Level 3 warrant liabilities measured at fair value for the years ended December 31, 2025 and 2024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2025</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10,456</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(2,125)</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2025</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Both observable and unobservable inputs were used to determine the fair value of warrants that the Company has classified within the Level 3 category. Unrealized gains and losses associated with warrant liabilities within the Level 3 category include changes in fair value that were attributable to both observable (e.g., changes in market interest rates) and unobservable (e.g., changes in unobservable long- dated volatilities) inputs.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warrant liability fair value measurements inputs at their measurement: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9"/>
        </w:trPr>
        <w:tc>
          <w:tcPr>
            <w:tcW w:w="2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2"/>
                <w:szCs w:val="22"/>
                <w:color w:val="auto"/>
              </w:rPr>
            </w:pPr>
          </w:p>
        </w:tc>
      </w:tr>
      <w:tr>
        <w:trPr>
          <w:trHeight w:val="194"/>
        </w:trPr>
        <w:tc>
          <w:tcPr>
            <w:tcW w:w="2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Angel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 Investor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6"/>
              </w:rPr>
              <w:t>Avenue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Hudson</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Angel</w:t>
            </w:r>
          </w:p>
        </w:tc>
      </w:tr>
      <w:tr>
        <w:trPr>
          <w:trHeight w:val="245"/>
        </w:trPr>
        <w:tc>
          <w:tcPr>
            <w:tcW w:w="2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Valuation Method</w:t>
            </w:r>
          </w:p>
        </w:tc>
        <w:tc>
          <w:tcPr>
            <w:tcW w:w="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Black Scholes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Monte Carlo</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Black Scholes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Monte Carlo</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Black Scholes</w:t>
            </w:r>
          </w:p>
        </w:tc>
        <w:tc>
          <w:tcPr>
            <w:tcW w:w="18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Strike price (per share)</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(per share)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39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Probability assessment </w:t>
            </w:r>
            <w:r>
              <w:rPr>
                <w:rFonts w:ascii="Times New Roman" w:cs="Times New Roman" w:eastAsia="Times New Roman" w:hAnsi="Times New Roman"/>
                <w:sz w:val="29"/>
                <w:szCs w:val="29"/>
                <w:color w:val="auto"/>
                <w:vertAlign w:val="superscript"/>
              </w:rPr>
              <w:t>(1)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47" w:lineRule="exact"/>
        <w:rPr>
          <w:sz w:val="20"/>
          <w:szCs w:val="20"/>
          <w:color w:val="auto"/>
        </w:rPr>
      </w:pPr>
    </w:p>
    <w:p>
      <w:pPr>
        <w:ind w:left="340" w:hanging="332"/>
        <w:spacing w:after="0" w:line="195"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Probability assessment reflects management’s estimate an event occurring such that a forced exercise would occur resulting in a reduction in strike price.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short-term notes payable – Yorkville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financial instrument with Yorkville signed on March 20, 2024 (see Note 6). The estimate of the fair value as of December 31, 2024 was determined using a binomial lattice model. The fair value measurement of the debt is determined using Level 3 inputs and assumptions unobservable in the market. As of December 31, 2025, there was no outstanding balance related to the Yorkville debt.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Changes in the fair value of debt that are accounted for at fair value, inclusive of related accrued interest expense, are presented as gains or losses as a component of other income (expense) in the accompanying consolidated statements of operations and comprehensive loss under change in fair value of debt, with the exception of changes due to the Company’s credit risk, which are presented as a component of accumulated other comprehensive income in the accompanying consolidated balance sheets. The actual settlement of the short-term debt could differ from current estimates based on the timing of when and if Yorkville elects to convert amounts into common shares, potential cash repayment by the Company prior to maturity, and movements in the Company’s common stock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ind w:left="340"/>
        <w:spacing w:after="0"/>
        <w:rPr>
          <w:sz w:val="20"/>
          <w:szCs w:val="20"/>
          <w:color w:val="auto"/>
        </w:rPr>
      </w:pPr>
      <w:r>
        <w:rPr>
          <w:rFonts w:ascii="Times New Roman" w:cs="Times New Roman" w:eastAsia="Times New Roman" w:hAnsi="Times New Roman"/>
          <w:sz w:val="18"/>
          <w:szCs w:val="18"/>
          <w:color w:val="auto"/>
        </w:rPr>
        <w:t>The following table provides a rollforward of the aggregate fair values of the Company’s Yorkville debt for which fair values are determined using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Addition of short-term notes payable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37"/>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50"/>
        </w:trPr>
        <w:tc>
          <w:tcPr>
            <w:tcW w:w="9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99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9980" w:type="dxa"/>
            <w:vAlign w:val="bottom"/>
          </w:tcPr>
          <w:p>
            <w:pPr>
              <w:spacing w:after="0"/>
              <w:rPr>
                <w:sz w:val="24"/>
                <w:szCs w:val="24"/>
                <w:color w:val="auto"/>
              </w:rPr>
            </w:pPr>
          </w:p>
        </w:tc>
        <w:tc>
          <w:tcPr>
            <w:tcW w:w="12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99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 – 0.13</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 – 4.35%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forward options in Yorkville SEPA</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Yorkville SEPA is accounted for as a derivative and is recognized at fair value. Any changes in fair value between the carrying amount of the forward issuance contracts and the settlement amounts will be recognized in other income (expense) in the consolidated statement of operations and comprehensive loss. For the year ended December 31, 2025, the Company determined there were immaterial changes in derivative liability fair value related to the Yorkville SEPA. The Company recognized no change in derivative liability fair value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RESEARCH AND DEVELOPMENT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Company’s revenues disaggregated by the major sources was as follows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BARDA</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U.S governmental authorities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29,581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activity in the Company’s contract liabilities during the year ended December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00" w:type="dxa"/>
            <w:vAlign w:val="bottom"/>
          </w:tcPr>
          <w:p>
            <w:pPr>
              <w:spacing w:after="0"/>
              <w:rPr>
                <w:sz w:val="21"/>
                <w:szCs w:val="21"/>
                <w:color w:val="auto"/>
              </w:rPr>
            </w:pPr>
          </w:p>
        </w:tc>
        <w:tc>
          <w:tcPr>
            <w:tcW w:w="12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Reductions</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contract liabilities</w:t>
            </w:r>
          </w:p>
        </w:tc>
        <w:tc>
          <w:tcPr>
            <w:tcW w:w="2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vMerge w:val="continue"/>
          </w:tcPr>
          <w:p>
            <w:pPr>
              <w:spacing w:after="0"/>
              <w:rPr>
                <w:sz w:val="20"/>
                <w:szCs w:val="20"/>
                <w:color w:val="auto"/>
              </w:rPr>
            </w:pPr>
          </w:p>
        </w:tc>
        <w:tc>
          <w:tcPr>
            <w:tcW w:w="2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2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F-21</w:t>
            </w: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98" w:name="page99"/>
    <w:bookmarkEnd w:id="98"/>
    <w:p>
      <w:pPr>
        <w:ind w:left="340"/>
        <w:spacing w:after="0"/>
        <w:rPr>
          <w:sz w:val="20"/>
          <w:szCs w:val="20"/>
          <w:color w:val="auto"/>
        </w:rPr>
      </w:pPr>
      <w:r>
        <w:rPr>
          <w:rFonts w:ascii="Times New Roman" w:cs="Times New Roman" w:eastAsia="Times New Roman" w:hAnsi="Times New Roman"/>
          <w:sz w:val="18"/>
          <w:szCs w:val="18"/>
          <w:color w:val="auto"/>
        </w:rPr>
        <w:t>The following table presents the activity in the Company’s contract assets during the year ended December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1"/>
                <w:szCs w:val="21"/>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Reductions</w:t>
            </w:r>
          </w:p>
        </w:tc>
        <w:tc>
          <w:tcPr>
            <w:tcW w:w="18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contract assets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as of December 31, 2025 and December 31, 2024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wages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gridSpan w:val="2"/>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NOTES PAYABLE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entered into the Avenue Financing, the Yorkville agreement, the Related Party note, and financing arrangements for a portion of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Officers (“D&amp;O”) insurance premiums,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Principal Repayments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5"/>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6"/>
                <w:szCs w:val="16"/>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80" w:type="dxa"/>
            <w:vAlign w:val="bottom"/>
            <w:gridSpan w:val="3"/>
            <w:vMerge w:val="continue"/>
          </w:tcPr>
          <w:p>
            <w:pPr>
              <w:spacing w:after="0"/>
              <w:rPr>
                <w:sz w:val="21"/>
                <w:szCs w:val="21"/>
                <w:color w:val="auto"/>
              </w:rPr>
            </w:pPr>
          </w:p>
        </w:tc>
        <w:tc>
          <w:tcPr>
            <w:tcW w:w="11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Financed</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Avenue Capital Note Principal and Final Payment Fee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Prime + 5.25%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Yorkville Convertible Notes, at fair value</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9,355</w:t>
            </w:r>
          </w:p>
        </w:tc>
        <w:tc>
          <w:tcPr>
            <w:tcW w:w="22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Note</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Insurance Note</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Insurance Note</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2023 Insurance Note</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19"/>
                <w:szCs w:val="19"/>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10,965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9,676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gridSpan w:val="2"/>
            <w:vMerge w:val="continue"/>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6"/>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discounts and debt issuance costs</w:t>
            </w: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40" w:type="dxa"/>
            <w:vAlign w:val="bottom"/>
            <w:tcBorders>
              <w:bottom w:val="single" w:sz="8" w:color="CCEEFF"/>
              <w:right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 long term</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5,538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Avenue Capital Financing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24, 2025, the Company completed the Avenue Financing, with an initial draw-down of $8.5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9" w:name="page100"/>
    <w:bookmarkEnd w:id="9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 of the Avenue Financing is for three years, with an interest-only payment period of no less than 15 months, which can be extended to 24 months upon achieving the milestones for the second financing tranche. The second financing tranche, which includes an additional $6.5 million in debt financing from Avenue Capital Group is contingent upon; (i) FDA clearance of the DeepView System and (ii) the Company completing a $7.0 million equity raise. The borrowings under the Avenue Financing accrue interest at a variable amount per annum equal to the greater of (i) the sum of (A) the Prime Rate plus (B) 5.25%, and (ii) 12.75%, and they mature on March 1, 2028 (the “Maturity Date”). In addition, on the Maturity Date a final payment of $0.8 million is due to Avenue Capital Group and is accrued as debt as of December 31, 2025.</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 to $2.0 million of the borrowings under the Avenue Financing is convertible at the lenders option, into a number of shares of common stock at a price per share equal to 120% of the exercise price of the Avenue Warrants discussed below.</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the Avenue Financing the Company issued 768,072 warrants to Avenue Capital Group which was equal to 8.5% of the total funding commitment (the “Avenue Warrants”). The Avenue Warrants have an exercise price equal to the lower of $1.66 per share and the lowest price per share paid to the Company in cash for common stock through December 31, 2025. The Avenue Warrants were determined to be classified as a liability instrument as certain terms preclude them from being considered indexed to the Company’s Common Stock.</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net proceeds of Avenue Financing of $8.3 million were first allocated to the fair value of the Avenue Warrants, with the residual proceeds being allocated to the debt. The difference between debt proceeds and the amount of those proceeds allocated to debt gave rise to a debt discount of $0.7 million. The discount amount due to the Avenue Warrants of $0.7 million along with the loan fees allocated to the loan of $1.0 million, which includes the final payment of $0.8 million, for an aggregate debt discount and debt issuance costs of $1.7 million as shown in the table above, will be amortized as interest expense through maturity using the effective interest method. The portion of loan fees allocated to the Avenue Warrants, of $22,000, were expensed during the year ended December 31, 2025 as financing related costs in the consolidated statement of operations and comprehensive income (loss).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 principal payments, including the final payment, of the Avenue note payable are as follows (in thousands):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tcPr>
          <w:p>
            <w:pPr>
              <w:spacing w:after="0"/>
              <w:rPr>
                <w:sz w:val="18"/>
                <w:szCs w:val="18"/>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Yorkville Convertible Notes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20, 2024, the Company entered into the SEPA with Yorkville pursuant to which the Company has the right to sell to Yorkville up to $30.0 million of its shares of Company Common Stock, subject to certain limitations and conditions set forth in the SEPA, from time to time during the term of the SEPA (such transaction, the “Yorkville Transaction”). In connection with the SEPA, and subject to the conditions set forth therein, Yorkville has agreed to advance to the Company in the form of convertible promissory notes (the “Convertible Notes”) an aggregate principal amount of up to $12.5 million (the “Pre-Paid Advance”), which will be paid in three tranches. The first Pre-Paid Advance was disbursed on March 20, 2024 in the amount of $5.0 million with a fixed conversion price of $3.16. The Company received $4.6 million in cash, net of the 8% original issue discount. On May 14, 2024, the shareholders voted to approve the reservation and issuance of shares to Yorkville to exceed the Exchange Cap and the second Pre-Paid Advance was disbursed on May 16, 2024 in the amount of $4.6 million, which is the $5.0 million second Pre-Paid Advance net of $0.4 million of the 8% original issue discount, with a fixed conversion price of $2.03. The third Pre-Paid Advance was disbursed on July 17, 2024 in the principal amount of $2.3 million, which is the $2.5 million third Pre-Paid Advance net of the $0.2 million of the 8% original issue discount, with a fixed conversion price equal to 120% of the average VWAP during the three trading days immediately prior to the issuance of the note. The purchase price for the Pre-Paid Advance is 92.0% of the principal amount of the Pre-Paid Advance. Interest shall accrue on the outstanding balance of any Pre-Paid Advance at an annual rate equal to 0%, subject to an increase to 18% upon an event of default as described in the Convertible Notes. The Company paid no interest relating to the Convertible Notes.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Beginning on the forty-fifth (45th) day following the issuance date of the Convertible Note issued in connection with the first Pre-Paid Advance, and continuing on the same day of each successive month thereafter, (each, an “Installment Date”), the Company shall repay a portion of the outstanding balance of the Pre-Paid Advance in an amount equal to (i) $1,750,000, provided however, in respect of any Installment Date prior to the closing of the second Pre-Paid Advance, $750,000 (the “Installment Principal Amount”), plus (ii) the a payment premium of 7% of such Installment Principal Amount, and (iii) accrued and unpaid interest hereunder as of each Installment Date. The maturity date of the Convertible Notes issued in connection with each Pre-Paid Advance will be 12 months after the issuance date of such Convertible Notes. In October 2024, the Company and Yorkville agreed to amend the dates and the allocation of installment amounts to be paid pursuant to the Pre-Paid Advances, such that the outstanding balance of the Pre-Paid Advances is to be paid by February 2025. During the year ended December 31, 2024, the Company made aggregate installment payments on the Pre-Paid Advances in the amount of $10.8 million, of which $8.3 million was settled in cash and $2.5 million was settled in shares. Of the aggregate installment payments, $9.4 million relates to the repayment of the principal, $0.8 million relates to the 8% original issue discount and $0.6 million relates to the 7% payment premium. As of December 31, 2024, the aggregate outstanding principal balance of the Yorkville Convertible Notes was $2.1 million.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SEPA is an equity-linked contract that does not qualify for equity classification, any expenses incurred will be recognized in the consolidated statements of operations and comprehensive loss within financing related costs. For the year ended December 31, 2024, the Company recognized $1.1 million in issuance costs related to the SEPA.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paid the remaining $2.4 million of Yorkville Convertible Notes of which $1.2 million was settled in cash and $1.2 million was settled in shares of common stock. The Company still has access to the remaining funds under the SEPA. The sales of the shares of Common Stock to Yorkville under the SEPA, and the timing of any such sales, are at the Company’s 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19, 2024, the Company announced that Spectral IP received a $1.0 million investment from an affiliate of its largest shareholder for the acquisition and development of a health care related artificial intelligence intellectual property portfolio. The investment is structured as a note payable with a one-year maturity, at an interest rate of 8%, and requiring earlier prepayment if the Company spins off Spectral IP to the Company’s shareholders or if Spectral IP is sold to a third party. The holder of the Spectral IP Note exercised a number of conversion rights throughout the fourth quarter of 2024 for the full conversion of the Spectral IP Note in exchange for a total of 540,996 shares of the Company’s common stock, which represents a 5.00% discount to the closing price of the Company’s shares of Common Stock on the day prior to the date of notice of the holder’s exercise of its conversion right.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Notes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finances its director and officer liability insurance premiums over a term of less than one year. The Company has determined that the carrying amounts of all of the insurance notes approximate fair value due to the short-term nature of borrowings and current market rates of interest.</w:t>
      </w:r>
    </w:p>
    <w:p>
      <w:pPr>
        <w:spacing w:after="0" w:line="158" w:lineRule="exact"/>
        <w:rPr>
          <w:sz w:val="20"/>
          <w:szCs w:val="20"/>
          <w:color w:val="auto"/>
        </w:rPr>
      </w:pPr>
    </w:p>
    <w:p>
      <w:pPr>
        <w:ind w:right="7600" w:firstLine="8"/>
        <w:spacing w:after="0" w:line="503" w:lineRule="auto"/>
        <w:tabs>
          <w:tab w:leader="none" w:pos="1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or pending claims. The Company is aware of a material threatened claim that it believes is without merit. From time to time, the Company may be subject to various legal proceedings and claims that arise in the ordinary course of its business activities, none of which we believe are material or would be expected to have, individually or in the aggregate, a material adverse effect on our business, financial condition, cash flows or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leases office space for its principal office in Dallas, Texas, which was amended in April 2024 to extend the lease term to expire in February 2028. The lease amendment also included a landlord-provided tenant improvement allowance of up to $0.3 million to be applied to the costs of the construction of leasehold improvements. The Company determined that it owns the leasehold improvements under the lease and, as such, reflected the $0.3 million lease incentive as an in-substance fixed lease payment that reduced the lease liability and right-of-use asset. As of December 31, 2025, leasehold improvement costs of $0.3 million were incurred and paid for directly by the lessor. As construction was performed for the improvements, the reduction to the lease payments was capitalized to construction-in-process. The construction was completed during the year ended December 31, 2025 and the Company recognized a leasehold improvement asset which is amortized over the remaining lease term.</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2025, the Company entered into a lease for office space in the United Kingdom for annual payments of $0.1 million under a lease. The lease was renewed for an additional year in January 2026, however the Company has excluded this lease from the tables below as the term is twelve months.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quantitative information about the Company’s operating leases for the years ended December 31, 2025 and 2024 (in thousands):</w:t>
      </w:r>
    </w:p>
    <w:p>
      <w:pPr>
        <w:spacing w:after="0" w:line="158"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exchanged for operating lease liabilities</w:t>
            </w:r>
          </w:p>
        </w:tc>
        <w:tc>
          <w:tcPr>
            <w:tcW w:w="78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components of the Company’s lease cost included in general and administrative expense in the consolidated statement of operations (in thousands):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rent expense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rent expense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Variable lease cost is primarily attributable to amounts paid to lessors for utility charges, parking, and property taxes under an office space lease.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future minimum payments under the non-cancelable operating leases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65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6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r>
      <w:tr>
        <w:trPr>
          <w:trHeight w:val="25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6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03"/>
        </w:trPr>
        <w:tc>
          <w:tcPr>
            <w:tcW w:w="38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61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1,870</w:t>
            </w:r>
          </w:p>
        </w:tc>
        <w:tc>
          <w:tcPr>
            <w:tcW w:w="100" w:type="dxa"/>
            <w:vAlign w:val="bottom"/>
            <w:tcBorders>
              <w:top w:val="single" w:sz="8" w:color="CCEEFF"/>
            </w:tcBorders>
          </w:tcPr>
          <w:p>
            <w:pPr>
              <w:spacing w:after="0"/>
              <w:rPr>
                <w:sz w:val="17"/>
                <w:szCs w:val="17"/>
                <w:color w:val="auto"/>
              </w:rPr>
            </w:pPr>
          </w:p>
        </w:tc>
      </w:tr>
      <w:tr>
        <w:trPr>
          <w:trHeight w:val="25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237"/>
        </w:trPr>
        <w:tc>
          <w:tcPr>
            <w:tcW w:w="3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140" w:type="dxa"/>
            <w:vAlign w:val="bottom"/>
            <w:tcBorders>
              <w:top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top w:val="single" w:sz="8" w:color="CCEEFF"/>
            </w:tcBorders>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gridSpan w:val="2"/>
          </w:tcPr>
          <w:p>
            <w:pPr>
              <w:jc w:val="right"/>
              <w:ind w:right="4530"/>
              <w:spacing w:after="0"/>
              <w:rPr>
                <w:sz w:val="20"/>
                <w:szCs w:val="20"/>
                <w:color w:val="auto"/>
              </w:rPr>
            </w:pPr>
            <w:r>
              <w:rPr>
                <w:rFonts w:ascii="Times New Roman" w:cs="Times New Roman" w:eastAsia="Times New Roman" w:hAnsi="Times New Roman"/>
                <w:sz w:val="18"/>
                <w:szCs w:val="18"/>
                <w:color w:val="auto"/>
              </w:rPr>
              <w:t>F-25</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Closing, the Company’s certificate of incorporation was amended and restated to authorize the issuance of 80,000,000 shares of Company Common Stock, $0.0001 par value and 1,000,000 shares of preferred stock, $0.0001 par value (the “Company Preferred Stock”).</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21, 2025, the Company entered into Purchase Agreements with certain stockholders for the sale of an aggregate of 2,068,846 shares of Common Stock, at an offering price of $1.30 per Share along with the issuance of the Investor Warrants. The gross proceeds of $2.7 million were allocated to the liability-classified Investor Warrants based on their fair value at issuance of $2.2 million, with the residual gross proceeds of $0.5 million allocated to the Common Stock. Total issuance costs incurred of $0.2 million were allocated between the Investor Warrants and Common Stock issued. Issuance costs allocated to the Common Stock of $152,000 were recorded in additional paid-in-capital.</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22, 2025, the Company entered into a securities purchase agreement with a certain investor for the sale of 3,065,000 shares of Common Stock, at an offering price of $1.90 per Share along with the issuance of the Hudson Warrants and Pre-Funded Warrants. The gross proceeds of $7.6 million were allocated to the liability-classified Hudson Warrants based on their fair value at issuance of $7.5 million, with the residual gross proceeds of $0.1 million allocated between the Common Stock and equity-classified Pre-Funded Warrants based on their relative fair value. Total issuance costs incurred of $0.6 million were allocated between the warrants and Common Stock issued. Issuance costs allocated to the Common Stock and Pre-Funded Warrants of less than $0.1 million were recorded in additional paid-in-capital.</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2 for further information on the Investor Warrants, Avenue Warrants, and Pre-Funded 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described in Note 2, during the year ended December 31, 2025, 1,403,846 Investor Warrants were exercised for shares of Common Stock.</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November and December 2024, the Company issued 2,415,900 shares for aggregate net proceeds of approximately $3.1 million to certain institutional investors through at-the market equity issuances.</w:t>
      </w:r>
    </w:p>
    <w:p>
      <w:pPr>
        <w:spacing w:after="0" w:line="158" w:lineRule="exact"/>
        <w:rPr>
          <w:sz w:val="20"/>
          <w:szCs w:val="20"/>
          <w:color w:val="auto"/>
        </w:rPr>
      </w:pPr>
    </w:p>
    <w:p>
      <w:pPr>
        <w:ind w:right="8160" w:firstLine="8"/>
        <w:spacing w:after="0" w:line="532" w:lineRule="auto"/>
        <w:tabs>
          <w:tab w:leader="none" w:pos="27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2023 Long Term Incentive Plan</w:t>
      </w:r>
    </w:p>
    <w:p>
      <w:pPr>
        <w:spacing w:after="0" w:line="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14, 2024, the Company’s shareholders approved the adoption of the 2023 Long Term Incentive Plan (the “2023 Plan”) which permits granting of incentive stock options (they must meet all statutory requirements), non-qualified stock options, stock appreciation rights, restricted stock, stock units, performance shares, performance units, incentive bonus awards, and other cash-based or stock-based awards. The options, restricted stock units and other securities issued pursuant to previous plans have been replaced with a corresponding award to be issued pursuant to the 2023 Plan. The maximum aggregate number of shares that may be issued under the Plan shall not exceed 8,000,000, plus the number of shares that are automatically added on January 1st of each year for a period of up to ten years, commencing on January 1, 2024 and ending on (and including) January 1, 2033, in an amount equal to the lesser of (i) five percent (5%) of the total number of shares of stock outstanding on December 31st of the preceding calendar year, and (ii) an amount determined by the Board of Directors. Pursuant to the 2023 Plan, stock options must expire within 10 years and must be granted with exercise prices of no less than the fair value of the common stock on the grant date, as determined by the Board of Directors. As of December 31, 2025, under the 2023 Plan, 3,857,136 shares of common stock were issuable upon exercise of outstanding options and 9,700 restricted stock units (“RSUs”) were issuable. Under the 2023 Plan, 3,730,684 shares remain available for issuance through grants of future options. The 2023 Plan provides that the Compensation Committee shall determine the vesting conditions of awards granted under the 2023 Plan, and the Compensation Committee has from time-to-time approved vesting schedules for certain awards that deviate from the vesting conditions described in the previous sentence.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3, 2024, the Company granted its then-CFO a market condition RSU of up to 150,000 shares of the Company’s common stock. The award had a grant date fair value of approximately $0.4 million using a Monte Carlo simulation model. The RSUs under this market-based award will vest partially based on achievement of stock price targets of the Company’s common stock. 50,000 RSUs vest when the 180-day VWAP meets or exceeds $8.00 per share, 50,000 RSUs vest when the 180-day VWAP meets or exceeds $12.00 per share, and 50,000 RSUs are not market-based and will vest over the continued service period of three years. These market-based conditions must be met in order for portions of the RSU award to vest, and it is therefore possible that certain awards ultimately would not vest. The grant date fair value of each RSU grant is expensed over the requisite service period. Compensation expense relating to share-based awards with market-based conditions is not reversed if these awards are forfeited based solely on failing to meet such market-based conditions.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29, 2024, the Company granted both its CFO and CEO awards of RSUs up to 150,000 shares of the Company’s common stock. The two awards had a grant date fair value of approximately $0.6 million using a Monte Carlo simulation model. The portion of RSUs that are market-based awards will vest partially based on achievement of stock price targets of the Company’s common stock. 37,500 RSUs vest when the 180-day VWAP meets or exceeds $8.00 per share, 37,500 RSUs vest when the 180-day VWAP meets or exceeds $10.00 per share. The market-based conditions must be met in order for the market-based portion of the RSU awards to vest, and it is therefore possible that certain awards ultimately would not vest. 75,000 RSUs are not market-based and will vest over the continued service period of three years. The grant date fair value of each RSU grant is expensed over the requisite service period. Compensation expense relating to share-based awards with market-based conditions is not reversed if these awards are forfeited based solely on failing to meet such market-based conditions.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29, 2024, the Company amended the terms of the January 3, 2024 RSU grant to its then-CFO to provide for identical vesting terms to those provided in the February 29, 2024 RSU grant. The Company determined the amended RSU grant represents a modification of the original award, however, the incremental compensation cost of the amendment was not material.</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October 2024, in connection with the resignation of the then-CEO, 300,000 unvested RSUs were forfeited and the Company granted 100,000 RSUs that immediately vested to the then-CEO.</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modified the terms of 150,000 outstanding RSU awards with market based and service based vesting conditions to remove all market based vesting conditions and accelerate the service based vesting. The modified award will vest such that 100,000 awards vested upon modification and 50,000 awards will vest on December 31, 2025. The modification was accounted for as if the modified award was a new award on the modification date. The Company compared the fair-value-based measure of the modified awards to the fair-value-based measure of the original awards immediately before the modification. As a result of the modification, the Company recognized incremental compensation cost of approximately $43 thousand, representing the excess of the fair-value-based measure of the modified awards over the original awards. This incremental cost is being recognized over the remaining requisite service period of the awards.</w:t>
      </w:r>
    </w:p>
    <w:p>
      <w:pPr>
        <w:sectPr>
          <w:pgSz w:w="11900" w:h="16838" w:orient="portrait"/>
          <w:cols w:equalWidth="0" w:num="1">
            <w:col w:w="11240"/>
          </w:cols>
          <w:pgMar w:left="320" w:top="873" w:right="339" w:bottom="1440" w:gutter="0" w:footer="0" w:header="0"/>
        </w:sectPr>
      </w:pP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 summary of RSU activities for the year ended December 31, 2025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7"/>
              </w:rPr>
              <w:t>Weighted</w:t>
            </w: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Average</w:t>
            </w: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Grant Date</w:t>
            </w:r>
          </w:p>
        </w:tc>
      </w:tr>
      <w:tr>
        <w:trPr>
          <w:trHeight w:val="216"/>
        </w:trPr>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i w:val="1"/>
                <w:iCs w:val="1"/>
                <w:color w:val="auto"/>
              </w:rPr>
              <w:t>Number of</w:t>
            </w: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Fair Value</w:t>
            </w:r>
          </w:p>
        </w:tc>
      </w:tr>
      <w:tr>
        <w:trPr>
          <w:trHeight w:val="245"/>
        </w:trPr>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i w:val="1"/>
                <w:iCs w:val="1"/>
                <w:color w:val="auto"/>
              </w:rPr>
              <w:t>Shares</w:t>
            </w:r>
          </w:p>
        </w:tc>
        <w:tc>
          <w:tcPr>
            <w:tcW w:w="1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9"/>
              </w:rPr>
              <w:t>per Share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169,400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17"/>
                <w:szCs w:val="17"/>
                <w:color w:val="auto"/>
              </w:rPr>
            </w:pPr>
          </w:p>
        </w:tc>
      </w:tr>
      <w:tr>
        <w:trPr>
          <w:trHeight w:val="216"/>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(159,700)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r>
      <w:tr>
        <w:trPr>
          <w:trHeight w:val="255"/>
        </w:trPr>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9,700</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0.45</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04" w:name="page105"/>
    <w:bookmarkEnd w:id="104"/>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grant any restricted stock awards during the year ended December 31, 2025. As of December 31, 2025, total unrecognized compensation expense related to restricted stock units was $13,000, which is expected to be recognized over a weighted-average period of 0.3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fair value of each employee and non-employee stock option grant with service based vesting conditions is estimated on the date of grant using the Black-Scholes option-pricing model. In the current year, the Company estimates its expected stock volatility based on its historical volatility, and in previous years, due to insufficient historical volatility, the historical volatility of a publicly traded set of peer companies. The expected term of the Company’s stock options for employees has been determined utilizing the simplified method by taking an average of the vesting periods and the original contractual terms for each award.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the Company does not expect to pay any cash dividends in the foreseeable future.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options generally vest ratably annually over 3 years and have a contractual term of 10 years. In applying the Black Scholes option pricing model, the Company used the following assumptions for stock options granted during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0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(per share)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stock options to purchase shares of the Company’s common stock to certain employees and board members which vest based on achievement of stock price targets of the Company’s common stock. As of December 31, 2025, options to purchase 550,000 shares of common stock will vest when the 30-day VWAP meets or exceeds $3.00 per share. The grant date fair value of these options were valued using a Monte Carlo valuation model and will be expensed over the requisite service period. In applying the Monte Carlo simulation model, the Company used the following assumptions for stock options granted during the years ended December 31,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36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680" w:type="dxa"/>
            <w:vAlign w:val="bottom"/>
            <w:tcBorders>
              <w:bottom w:val="single" w:sz="8" w:color="CCEEFF"/>
            </w:tcBorders>
          </w:tcPr>
          <w:p>
            <w:pPr>
              <w:spacing w:after="0"/>
              <w:rPr>
                <w:sz w:val="21"/>
                <w:szCs w:val="21"/>
                <w:color w:val="auto"/>
              </w:rPr>
            </w:pPr>
          </w:p>
        </w:tc>
        <w:tc>
          <w:tcPr>
            <w:tcW w:w="6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(per share)</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655"/>
        </w:trPr>
        <w:tc>
          <w:tcPr>
            <w:tcW w:w="36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2"/>
          </w:tcPr>
          <w:p>
            <w:pPr>
              <w:jc w:val="right"/>
              <w:ind w:right="4193"/>
              <w:spacing w:after="0"/>
              <w:rPr>
                <w:sz w:val="20"/>
                <w:szCs w:val="20"/>
                <w:color w:val="auto"/>
              </w:rPr>
            </w:pPr>
            <w:r>
              <w:rPr>
                <w:rFonts w:ascii="Times New Roman" w:cs="Times New Roman" w:eastAsia="Times New Roman" w:hAnsi="Times New Roman"/>
                <w:sz w:val="18"/>
                <w:szCs w:val="18"/>
                <w:color w:val="auto"/>
              </w:rPr>
              <w:t>F-28</w:t>
            </w: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05" w:name="page106"/>
    <w:bookmarkEnd w:id="105"/>
    <w:p>
      <w:pPr>
        <w:ind w:left="340"/>
        <w:spacing w:after="0"/>
        <w:rPr>
          <w:sz w:val="20"/>
          <w:szCs w:val="20"/>
          <w:color w:val="auto"/>
        </w:rPr>
      </w:pPr>
      <w:r>
        <w:rPr>
          <w:rFonts w:ascii="Times New Roman" w:cs="Times New Roman" w:eastAsia="Times New Roman" w:hAnsi="Times New Roman"/>
          <w:sz w:val="18"/>
          <w:szCs w:val="18"/>
          <w:color w:val="auto"/>
        </w:rPr>
        <w:t>A summary of stock options activity for the year ended December 31, 2025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7"/>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8"/>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7"/>
              </w:rPr>
              <w:t>Weighted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w w:val="99"/>
              </w:rPr>
              <w:t>Remaining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8"/>
              </w:rPr>
              <w:t>Average</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9"/>
              </w:rPr>
              <w:t>Exercise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w w:val="99"/>
              </w:rPr>
              <w:t>Life</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Intrinsic 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(in years)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3,594,488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6.0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918,706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(38,198)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(92,579)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(525,277)</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320" w:type="dxa"/>
            <w:vAlign w:val="bottom"/>
            <w:tcBorders>
              <w:top w:val="single" w:sz="8" w:color="CCEEFF"/>
            </w:tcBorders>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3,857,136</w:t>
            </w:r>
          </w:p>
        </w:tc>
        <w:tc>
          <w:tcPr>
            <w:tcW w:w="14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Options vested and exercisable as of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2,951,221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1.92</w:t>
            </w:r>
          </w:p>
        </w:tc>
        <w:tc>
          <w:tcPr>
            <w:tcW w:w="1320" w:type="dxa"/>
            <w:vAlign w:val="bottom"/>
            <w:tcBorders>
              <w:top w:val="single" w:sz="8" w:color="CCEEFF"/>
              <w:bottom w:val="single" w:sz="8" w:color="CCEEFF"/>
            </w:tcBorders>
            <w:gridSpan w:val="2"/>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respective date.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approximately $0.5 million of unrecognized stock-based compensation related to stock option grants that will be amortized over a weighted average period of 1.0 years.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for stock options, RSUs, and restricted stock awards of $1.1 million for the year ended December 31, 2025 and $1.0 million for the year ended December 31, 2024 in general and administrative expenses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for the year ended December 31, 2025, the Company adopted ASU 2023-09 and applied the disclosure requirements on a prospective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prospective application, the Company did not recast prior period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Loss from before income tax expense/(benefit) disaggregated between domestic and foreign were as follows in accordance with ASU 2023-09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loss before income taxes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overall effective tax rate “ETR” for the Company, as calculated under ASC 740 guidance for the tax period ended December 31,2025 and 2024 is (0.15)% and (1.78)% respectively. The following tables reconcile the federal statutory income rate to the Company’s effective income tax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Borders>
              <w:bottom w:val="single" w:sz="8" w:color="CCEEFF"/>
            </w:tcBorders>
          </w:tcPr>
          <w:p>
            <w:pPr>
              <w:spacing w:after="0"/>
              <w:rPr>
                <w:sz w:val="21"/>
                <w:szCs w:val="21"/>
                <w:color w:val="auto"/>
              </w:rPr>
            </w:pPr>
          </w:p>
        </w:tc>
        <w:tc>
          <w:tcPr>
            <w:tcW w:w="404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76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40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4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5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tax difference between U.K. and U.S.</w:t>
            </w:r>
          </w:p>
        </w:tc>
        <w:tc>
          <w:tcPr>
            <w:tcW w:w="5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4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 to market warrants</w:t>
            </w:r>
          </w:p>
        </w:tc>
        <w:tc>
          <w:tcPr>
            <w:tcW w:w="5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3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50"/>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federal, state and income taxes</w:t>
            </w:r>
          </w:p>
        </w:tc>
        <w:tc>
          <w:tcPr>
            <w:tcW w:w="40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21"/>
        </w:trPr>
        <w:tc>
          <w:tcPr>
            <w:tcW w:w="45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55"/>
        </w:trPr>
        <w:tc>
          <w:tcPr>
            <w:tcW w:w="45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4"/>
          </w:tcPr>
          <w:p>
            <w:pPr>
              <w:jc w:val="right"/>
              <w:ind w:right="4440"/>
              <w:spacing w:after="0"/>
              <w:rPr>
                <w:sz w:val="20"/>
                <w:szCs w:val="20"/>
                <w:color w:val="auto"/>
              </w:rPr>
            </w:pPr>
            <w:r>
              <w:rPr>
                <w:rFonts w:ascii="Times New Roman" w:cs="Times New Roman" w:eastAsia="Times New Roman" w:hAnsi="Times New Roman"/>
                <w:sz w:val="18"/>
                <w:szCs w:val="18"/>
                <w:color w:val="auto"/>
              </w:rPr>
              <w:t>F-29</w:t>
            </w: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162"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rate</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benefit</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(0.65)%</w:t>
            </w: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non-U.S. Earnings</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(0.63)%</w:t>
            </w: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stock compensation</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and changes in tax rates</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50"/>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37"/>
        </w:trPr>
        <w:tc>
          <w:tcPr>
            <w:tcW w:w="9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20"/>
        </w:trPr>
        <w:tc>
          <w:tcPr>
            <w:tcW w:w="9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main drivers between the federal statutory rate of 21.00% and ETR of (0.15%) for the year ended December 31, 2025 is the mark to market of the warrants and change in valuation allowance.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Income Tax Expense/(Benefit)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tax expense/(benefit) for the years ended December 31, 2025 and 2024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w:t>
            </w: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US State</w:t>
            </w:r>
          </w:p>
        </w:tc>
        <w:tc>
          <w:tcPr>
            <w:tcW w:w="82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820" w:type="dxa"/>
            <w:vAlign w:val="bottom"/>
            <w:tcBorders>
              <w:top w:val="single" w:sz="8" w:color="auto"/>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82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271</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in a taxable loss position for the year ending December 31, 2025. The current tax expense of $11,000 is resulting from the gross margin tax for the Company’s state filing in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Paid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taxes paid, net of refunds received, consisted of the following for the year ending December 31, 2025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60" w:type="dxa"/>
            <w:vAlign w:val="bottom"/>
            <w:tcBorders>
              <w:bottom w:val="single" w:sz="8" w:color="CCEEFF"/>
            </w:tcBorders>
          </w:tcPr>
          <w:p>
            <w:pPr>
              <w:spacing w:after="0"/>
              <w:rPr>
                <w:sz w:val="21"/>
                <w:szCs w:val="21"/>
                <w:color w:val="auto"/>
              </w:rPr>
            </w:pPr>
          </w:p>
        </w:tc>
        <w:tc>
          <w:tcPr>
            <w:tcW w:w="5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5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Texas</w:t>
            </w:r>
          </w:p>
        </w:tc>
        <w:tc>
          <w:tcPr>
            <w:tcW w:w="5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57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6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2"/>
          </w:tcPr>
          <w:p>
            <w:pPr>
              <w:jc w:val="right"/>
              <w:ind w:right="4370"/>
              <w:spacing w:after="0"/>
              <w:rPr>
                <w:sz w:val="20"/>
                <w:szCs w:val="20"/>
                <w:color w:val="auto"/>
              </w:rPr>
            </w:pPr>
            <w:r>
              <w:rPr>
                <w:rFonts w:ascii="Times New Roman" w:cs="Times New Roman" w:eastAsia="Times New Roman" w:hAnsi="Times New Roman"/>
                <w:sz w:val="18"/>
                <w:szCs w:val="18"/>
                <w:color w:val="auto"/>
              </w:rPr>
              <w:t>F-30</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main components of deferred tax assets/(liabilities) for the periods ended December 31, 2025 and 2024,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Non-deductible 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deferred income tax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8,597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6,661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income tax liabilities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(8,302)</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income tax assets, net of valuation allowance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 Considerations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ASC 740, “Income Taxes” requires that a valuation allowance be established when it is “more likely than not” that all, or a portion of, deferred tax assets will not be realized. A review of all available positive and negative evidence needs to be considered, including the scheduled reversal of deferred tax liabilities, projected future taxable income, and tax planning strategies. After consideration of all the information available, management believes that uncertainty exists with respect to future realization of its deferred tax assets and has, therefore, established a full valuation allowance as of December 31, 2025, and 2024. The net change in valuation allowance for the years ended December 31, 2025 and 2024 was an increase of $2.1 million and $1.8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174 Capitalization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4, 2025, U.S. legislation formally titled “An Act to Provide for Reconciliation Pursuant to Title II of H. Con. Res. 14” (“The Act”) was signed into law. The Act, among other things, extended key provisions of the 2017 Tax Cuts and Jobs Act and introduced targeted changes to the U.S. federal income tax regime. The most significant of these changes for the Company is the change to immediate expense for research and development costs that were previously capitalized and a change to the calculation for the interest limitation for tax purposes. During the year the Company recorded an immaterial benefit to income tax expense. The Company has also elected to deduct all 50% of previously capitalized research and development expenses in 2025 and the balance in 2026, that resulted in an increase to net operating loss carryovers offset with a corresponding valuation allowance. The Company continues to capitalize certain research and development costs based on historic tax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Losses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2025 and 2024, the Company had available federal net operating loss carryforwards (“NOLs”) of $25.9 million and $19.2 million, respectively, which are available to offset future federal taxable income. Under the Tax Cuts and Jobs Act (“TCJA”), all NOLs incurred after December 31, 2017 are carried forward indefinitely for federal tax purposes. Utilization of net operating losses and credits may be subject to substantial annual limitations due to the “change in ownership” provisions of the Internal Revenue Code of 1986 and similar state provisions. The annual limitations may result in the expiration of net operating losses before utilization. The Company has not yet performed an analysis, and that, when completed, such an analysis may result in expiration of net operating losses before utilization and an adjustment to the Company’s deferred taxes. As of December 31, 2025 and 2024, the Company had available UK NOL of $2.8 million and $1.9 million to offset future UK taxable income.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382 of the Internal Revenue Code limits the utilization of U.S. net operating loss (“NOL”) carryforwards following a change of control. The Company has not performed an analysis of whether a change of control defined under Section 382 may have occurred. Upon performing an analysis of whether an ownership change has occurred, any future NOL deductions may be limited. However, the Company’s NOL carryforward as discussed above does not expire.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and in various state, local and foreign jurisdictions. The Company’s tax returns for years 2021 through present are open to tax examinations by U.S. Federal, state, local and foreign tax authorities; however, carryforward attributes that were generated prior to January 1, 2018, remain subject to adjustment upon examination if they either have been utilized or will be utilized in a future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COMMON SHARE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and diluted net loss per common share attributable to common stockholders are the same for the years ended December 31, 2025 and 2024, since the inclusion of all potential shares of common stock outstanding would have been anti-dilutive due to the Company’s net loss. Basic and diluted net loss per common share attributable to common stockholders for the year ended December 31, 2025 includes the weighted average effect of 935,000 shares of common stock issuable upon exercise of pre-funded warrants that were issued in connection with the October 2025 Offering.</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potentially dilutive securities that were excluded from the computation of net loss per common share as of the periods presented because including them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3,857,136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13,940,383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17,807,219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to be utilized to acquire artificial intelligence intellectual property with a specific emphasis on healthcare. On March 19, 2024, the Company announced that Spectral IP received a $1.0 million investment from an affiliate of its largest stockholder for the development of its artificial intelligence intellectual property portfolio. The investment was structured as a note payable with a one-year maturity, an interest rate of 8%, and requiring earlier prepayment if the Company spins off Spectral IP to the Company’s stockholders or if Spectral IP is sold to a third party (the “Spectral IP Note”).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1, 2024, the Spectral IP Note was amended to (i) reduce the annual interest rate from 8% to 4%, (ii) extend the term of the Spectral IP Note through the second anniversary of the issuance date, March 18, 2026, (iii) include a conversion feature at the option of either the holder or Spectral IP to convert the then outstanding principal and accrued but unpaid interest into shares of the Company at any time (into such number of shares calculated by taking a five percent (5.00%) discount to the closing price of the Common Stock on the day prior to the date of notice to the Company of the exercise of the conversion right) and at maturity, respectively, and (iv) provide for registration rights of any shares of the Company issued in satisfaction of the outstanding obligations. The holder of the Spectral IP Note exercised a number of conversion rights throughout the fourth quarter of 2024 for the full conversion of the Spectral IP Note in exchange for a total of 540,996 shares of the Common Stock, which represents a 5.00% discount to the closing price of the Company’s shares of Common Stock on the day prior to the date of notice of the holder’s exercise of its conversion right. There were no outstanding obligations due and owing under the Spectral IP Note as of December 31, 2025.</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4, 2024, Spectral IP entered into a purchase agreement with Sauvegarder Investment Management, Inc. (“Sauvegarder IM”, formerly known as SIM Tech Inc.), Sauvegarder IM was formed on March 25, 2024 with a focus on IP-related transactions. Pursuant to the purchase agreement, as amended, Spectral IP will acquire all of the outstanding common stock of Sauvegarder IM in exchange for issuing to the Sauvegarder IM stockholders 21,399,851 shares of common stock of Spectral IP and 22,827,380 shares of preferred stock of Spectral IP. Additionally, the Company has agreed to forfeit all shares of Spectral IP it holds other than 1,849,102, which is the value the parties attribute to the intellectual property license agreement held by Spectral IP.</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5, 2025, the Company entered into an intellectual property license agreement pursuant to which Spectral IP received a worldwide, non-exclusive, license to one international patent asset of the Company for the purposes of commercializing and monetizing outside the core areas of focus of the Company on market terms and conditions that are to be finalized.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18, 2026, the Company announced that it has received a contract modification from the Biomedical Advanced Research and Development Authority (BARDA) for the advancement of $31.7 million from its existing contract with BARDA which included (i) a no-cost extension of the base phase of the contract, and (ii) the acceleration of certain parts of the next phase of such contract. As part of this funding advance, the Company has committed to fund $9.7 million of the total overall development costs associated with these feature advancements. This funding comes as part of an ongoing partnership with BARDA, which has committed $54.9 million to date under the contract with an overall value of approximately $150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ind w:left="660" w:right="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to exhibits are filed or incorporated by reference as part of this Annual Report on Form 10-K.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760" w:type="dxa"/>
            <w:vAlign w:val="bottom"/>
            <w:gridSpan w:val="13"/>
          </w:tcPr>
          <w:p>
            <w:pPr>
              <w:ind w:left="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760" w:type="dxa"/>
            <w:vAlign w:val="bottom"/>
            <w:tcBorders>
              <w:bottom w:val="single" w:sz="8" w:color="auto"/>
            </w:tcBorders>
            <w:gridSpan w:val="13"/>
          </w:tcPr>
          <w:p>
            <w:pPr>
              <w:ind w:left="1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Business Combination Agreement, by and among Rosecliff Acquisition Corp I, Merger Sub I, Merger Sub II and Spectral MD Holdings,</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Ltd., dated as of April 11, 2023 (incorporated by reference to Annex A of the Registration Statement on Form S-4 (File No. 333-271566)).</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Second Amended and Restated Certificate of Incorporation of Spectral AI, Inc. (incorporated by reference to the Registrant’s Current</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Report on Form 8-K filed with the SEC on September 15, 2023).</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Amended and Restated Bylaws of Spectral AI, Inc. (incorporated by reference to the Registrant’s Current Report on Form 8-K filed with</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2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the SEC on September 15, 2023).</w:t>
              </w:r>
            </w:hyperlink>
          </w:p>
        </w:tc>
        <w:tc>
          <w:tcPr>
            <w:tcW w:w="7660" w:type="dxa"/>
            <w:vAlign w:val="bottom"/>
            <w:tcBorders>
              <w:top w:val="single" w:sz="8" w:color="0000EE"/>
              <w:bottom w:val="single" w:sz="8" w:color="CCEEFF"/>
            </w:tcBorders>
            <w:gridSpan w:val="1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Warrant Agreement, dated February 11, 2021, between Rosecliff Acquisition Corp I and Continental Stock Transfer &amp; Trust Company, as</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warrant agent (incorporated by reference to the Registrant’s Current Report on Form 8-K filed with the SEC on February 17, 2021)</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Description of the Registrant’s Securities (incorporated by reference to the Registrant’s Annual Report on Form 10-K filed on March 31,</w:t>
              </w:r>
            </w:hyperlink>
          </w:p>
        </w:tc>
      </w:tr>
      <w:tr>
        <w:trPr>
          <w:trHeight w:val="196"/>
        </w:trPr>
        <w:tc>
          <w:tcPr>
            <w:tcW w:w="1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2022)</w:t>
              </w:r>
            </w:hyperlink>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Amended and Restated Registration Rights &amp; Lock-up Agreement (incorporated by reference to the Registrant’s Current Report on Form 8-</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K filed with the SEC on September 15, 2023).</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Registration Rights Agreement, dated December 26, 2023, between the Registrant and B. Riley Principal Capital II, LLC (incorporated by</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844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reference to Exhibit 10.2 of the Registrant’s Current Report on Form 8-K filed with the SEC on December 27, 2023).</w:t>
              </w:r>
            </w:hyperlink>
          </w:p>
        </w:tc>
        <w:tc>
          <w:tcPr>
            <w:tcW w:w="166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Indemnification Agreement (incorporated by reference to the Registrant’s Current Report on Form 8-K filed with the SEC on</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September 15, 2023).</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Sponsor Warrants Purchase Agreement, dated February 11, 2021, between the Registrant and the Sponsor (incorporated by reference to the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Registrant’s Current Report on Form 8-K filed with the SEC on February 17, 2021)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BARDA Award/Contract, July 1, 2019, by and between Spectral MD, Inc. and ASPR-BARDA (incorporated by reference to Exhibit 10.14</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of the Registration Statement on Form S-4 (File No. 333-271566)).</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Amendment of the Solicitation/Modification of the BARDA Contract, dated August 26, 2022, by and between Spectral MD, Inc. and</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ASPR-BARDA (incorporated by reference to Exhibit 10.15 of the Registration Statement on Form S-4 (File No. 333-271566)).</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gridSpan w:val="18"/>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Award/Contract for DHA, dated July 1, 2021, by and between Spectral MD, Inc. and U.S. Army Medical Materiel Development Activity</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(incorporated by reference to Exhibit 10.16 of the Registration Statement on Form S-4 (File No. 333-271566)).</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Amendment of the Solicitation/Modification of the DHA Contract, dated July 1, 2021, by and between Spectral MD, Inc. and U.S. Army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medical Materiel Development Activity (incorporated by reference to Exhibit 10.17 of the Registration Statement on Form S-4 (File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No. 333-271566)).</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MTEC Research Project Award, dated April 12, 2023, by and between Spectral. MD, Inc. and Advanced Technology International MTEC</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Consortium Manager (incorporated by reference to Exhibit 10.18 of the Registration Statement on Form S-4 (File No. 333-271566)).</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Sponsor Letter Agreement, dated April 11, 2023, by and among Rosecliff Acquisition I Sponsor LLC, Spectral MD Holdings, Ltd., and</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Rosecliff Acquisition Corp I (incorporated by reference to Annex F of the Registration Statement on Form S-4 (File No. 333-271566)).</w:t>
              </w:r>
            </w:hyperlink>
          </w:p>
        </w:tc>
        <w:tc>
          <w:tcPr>
            <w:tcW w:w="36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Common Stock Purchase Agreement, dated December 26, 2023, between the Registrant and B. Riley Principal Capital II, LLC</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(incorporated by reference to Exhibit 10.1 of the Registrant’s Current Report on Form 8-K filed with the SEC on December 27, 2023).</w:t>
              </w:r>
            </w:hyperlink>
          </w:p>
        </w:tc>
      </w:tr>
      <w:tr>
        <w:trPr>
          <w:trHeight w:val="675"/>
        </w:trPr>
        <w:tc>
          <w:tcPr>
            <w:tcW w:w="1140" w:type="dxa"/>
            <w:vAlign w:val="bottom"/>
            <w:tcBorders>
              <w:bottom w:val="single" w:sz="8" w:color="auto"/>
            </w:tcBorders>
          </w:tcPr>
          <w:p>
            <w:pPr>
              <w:spacing w:after="0"/>
              <w:rPr>
                <w:sz w:val="24"/>
                <w:szCs w:val="24"/>
                <w:color w:val="auto"/>
              </w:rPr>
            </w:pPr>
          </w:p>
        </w:tc>
        <w:tc>
          <w:tcPr>
            <w:tcW w:w="4680" w:type="dxa"/>
            <w:vAlign w:val="bottom"/>
            <w:tcBorders>
              <w:top w:val="single" w:sz="8" w:color="0000EE"/>
              <w:bottom w:val="single" w:sz="8" w:color="auto"/>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0000EE"/>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tcPr>
          <w:p>
            <w:pPr>
              <w:spacing w:after="0"/>
              <w:rPr>
                <w:sz w:val="24"/>
                <w:szCs w:val="24"/>
                <w:color w:val="auto"/>
              </w:rPr>
            </w:pPr>
          </w:p>
        </w:tc>
        <w:tc>
          <w:tcPr>
            <w:tcW w:w="20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10" w:name="page111"/>
    <w:bookmarkEnd w:id="110"/>
    <w:p>
      <w:pPr>
        <w:ind w:left="1140" w:hanging="1133"/>
        <w:spacing w:after="0" w:line="261"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41">
        <w:r>
          <w:rPr>
            <w:rFonts w:ascii="Times New Roman" w:cs="Times New Roman" w:eastAsia="Times New Roman" w:hAnsi="Times New Roman"/>
            <w:sz w:val="18"/>
            <w:szCs w:val="18"/>
            <w:u w:val="single" w:color="auto"/>
            <w:color w:val="0000EE"/>
          </w:rPr>
          <w:t>Spectral MD, Inc. 2018 Long Term Incentive Plan (incorporated by referenced to Exhibit 99.1 of Registrant’s Registration Statement on</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Form S-8, filed with the SEC on February 9,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10.10.1**</w:t>
      </w:r>
      <w:r>
        <w:rPr>
          <w:sz w:val="20"/>
          <w:szCs w:val="20"/>
          <w:color w:val="auto"/>
        </w:rPr>
        <w:tab/>
      </w:r>
      <w:hyperlink r:id="rId143">
        <w:r>
          <w:rPr>
            <w:rFonts w:ascii="Times New Roman" w:cs="Times New Roman" w:eastAsia="Times New Roman" w:hAnsi="Times New Roman"/>
            <w:sz w:val="18"/>
            <w:szCs w:val="18"/>
            <w:u w:val="single" w:color="auto"/>
            <w:color w:val="0000EE"/>
          </w:rPr>
          <w:t>Form of Stock Option Award Agreement under Spectral MD, Inc. 2018 Long-Term Incentive Plan (incorporated by referenced to Exhibit</w:t>
        </w:r>
      </w:hyperlink>
    </w:p>
    <w:p>
      <w:pPr>
        <w:spacing w:after="0" w:line="9" w:lineRule="exact"/>
        <w:rPr>
          <w:sz w:val="20"/>
          <w:szCs w:val="20"/>
          <w:color w:val="auto"/>
        </w:rPr>
      </w:pPr>
    </w:p>
    <w:p>
      <w:pPr>
        <w:ind w:left="1140"/>
        <w:spacing w:after="0"/>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99.3 of Registrant’s Registration Statement on Form S-8, filed with the SEC on February 9,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40" w:hanging="113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10.10.2**</w:t>
      </w:r>
      <w:r>
        <w:rPr>
          <w:sz w:val="20"/>
          <w:szCs w:val="20"/>
          <w:color w:val="auto"/>
        </w:rPr>
        <w:tab/>
      </w:r>
      <w:hyperlink r:id="rId145">
        <w:r>
          <w:rPr>
            <w:rFonts w:ascii="Times New Roman" w:cs="Times New Roman" w:eastAsia="Times New Roman" w:hAnsi="Times New Roman"/>
            <w:sz w:val="18"/>
            <w:szCs w:val="18"/>
            <w:u w:val="single" w:color="auto"/>
            <w:color w:val="0000EE"/>
          </w:rPr>
          <w:t>Form of RSU Award Agreement under Spectral MD, Inc. 2018 Long-Term Incentive Plan (incorporated by referenced to Exhibit 99.4 of</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Registrant’s Registration Statement on Form S-8, filed with the SEC on February 9, 2024)</w:t>
        </w:r>
      </w:hyperlink>
    </w:p>
    <w:p>
      <w:pPr>
        <w:spacing w:after="0" w:line="1" w:lineRule="exact"/>
        <w:rPr>
          <w:sz w:val="20"/>
          <w:szCs w:val="20"/>
          <w:color w:val="auto"/>
        </w:rPr>
      </w:pPr>
    </w:p>
    <w:p>
      <w:pPr>
        <w:ind w:left="1140" w:right="20" w:hanging="113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46">
        <w:r>
          <w:rPr>
            <w:rFonts w:ascii="Times New Roman" w:cs="Times New Roman" w:eastAsia="Times New Roman" w:hAnsi="Times New Roman"/>
            <w:sz w:val="18"/>
            <w:szCs w:val="18"/>
            <w:u w:val="single" w:color="auto"/>
            <w:color w:val="0000EE"/>
          </w:rPr>
          <w:t>Spectral MD Holdings, Ltd. 2022 Long Term Incentive Plan (incorporated by referenced to Exhibit 99.2 of Registrant’s Registration</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Statement on Form S-8, filed with the SEC on February 9,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40" w:hanging="113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10.11.1**</w:t>
      </w:r>
      <w:r>
        <w:rPr>
          <w:sz w:val="20"/>
          <w:szCs w:val="20"/>
          <w:color w:val="auto"/>
        </w:rPr>
        <w:tab/>
      </w:r>
      <w:hyperlink r:id="rId148">
        <w:r>
          <w:rPr>
            <w:rFonts w:ascii="Times New Roman" w:cs="Times New Roman" w:eastAsia="Times New Roman" w:hAnsi="Times New Roman"/>
            <w:sz w:val="18"/>
            <w:szCs w:val="18"/>
            <w:u w:val="single" w:color="auto"/>
            <w:color w:val="0000EE"/>
          </w:rPr>
          <w:t>Form of Stock Option Award Agreement under Spectral MD Holdings, Ltd. 2022 Long-Term Incentive Plan (incorporated by referenced to</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Exhibit 99.5 of Registrant’s Registration Statement on Form S-8, filed with the SEC on February 9, 2024)</w:t>
        </w:r>
      </w:hyperlink>
    </w:p>
    <w:p>
      <w:pPr>
        <w:spacing w:after="0" w:line="1"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10.11.2**</w:t>
      </w:r>
      <w:r>
        <w:rPr>
          <w:sz w:val="20"/>
          <w:szCs w:val="20"/>
          <w:color w:val="auto"/>
        </w:rPr>
        <w:tab/>
      </w:r>
      <w:hyperlink r:id="rId149">
        <w:r>
          <w:rPr>
            <w:rFonts w:ascii="Times New Roman" w:cs="Times New Roman" w:eastAsia="Times New Roman" w:hAnsi="Times New Roman"/>
            <w:sz w:val="18"/>
            <w:szCs w:val="18"/>
            <w:u w:val="single" w:color="auto"/>
            <w:color w:val="0000EE"/>
          </w:rPr>
          <w:t>Form of RSU Award Agreement under Spectral MD Holdings, Ltd. 2022 Long-Term Incentive Plan (incorporated by referenced to Exhibit</w:t>
        </w:r>
      </w:hyperlink>
    </w:p>
    <w:p>
      <w:pPr>
        <w:spacing w:after="0" w:line="9" w:lineRule="exact"/>
        <w:rPr>
          <w:sz w:val="20"/>
          <w:szCs w:val="20"/>
          <w:color w:val="auto"/>
        </w:rPr>
      </w:pPr>
    </w:p>
    <w:p>
      <w:pPr>
        <w:ind w:left="1140"/>
        <w:spacing w:after="0"/>
        <w:rPr>
          <w:rFonts w:ascii="Times New Roman" w:cs="Times New Roman" w:eastAsia="Times New Roman" w:hAnsi="Times New Roman"/>
          <w:sz w:val="18"/>
          <w:szCs w:val="18"/>
          <w:u w:val="single" w:color="auto"/>
          <w:color w:val="0000EE"/>
        </w:rPr>
      </w:pPr>
      <w:hyperlink r:id="rId149">
        <w:r>
          <w:rPr>
            <w:rFonts w:ascii="Times New Roman" w:cs="Times New Roman" w:eastAsia="Times New Roman" w:hAnsi="Times New Roman"/>
            <w:sz w:val="18"/>
            <w:szCs w:val="18"/>
            <w:u w:val="single" w:color="auto"/>
            <w:color w:val="0000EE"/>
          </w:rPr>
          <w:t>99.6 of Registrant’s Registration Statement on Form S-8, filed with the SEC on February 9,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40" w:hanging="113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51">
        <w:r>
          <w:rPr>
            <w:rFonts w:ascii="Times New Roman" w:cs="Times New Roman" w:eastAsia="Times New Roman" w:hAnsi="Times New Roman"/>
            <w:sz w:val="18"/>
            <w:szCs w:val="18"/>
            <w:u w:val="single" w:color="auto"/>
            <w:color w:val="0000EE"/>
          </w:rPr>
          <w:t>Spectral AI, Inc. 2023 Long Term Incentive Plan (Incorporated by reference to Exhibit 10.12 of Registrant’s Form 10-K, filed with the SEC</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on March 29, 2024)</w:t>
        </w:r>
      </w:hyperlink>
    </w:p>
    <w:p>
      <w:pPr>
        <w:spacing w:after="0" w:line="1" w:lineRule="exact"/>
        <w:rPr>
          <w:sz w:val="20"/>
          <w:szCs w:val="20"/>
          <w:color w:val="auto"/>
        </w:rPr>
      </w:pPr>
    </w:p>
    <w:p>
      <w:pPr>
        <w:ind w:left="1140" w:hanging="1139"/>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14**</w:t>
      </w:r>
      <w:r>
        <w:rPr>
          <w:sz w:val="20"/>
          <w:szCs w:val="20"/>
          <w:color w:val="auto"/>
        </w:rPr>
        <w:tab/>
      </w:r>
      <w:hyperlink r:id="rId152">
        <w:r>
          <w:rPr>
            <w:rFonts w:ascii="Times New Roman" w:cs="Times New Roman" w:eastAsia="Times New Roman" w:hAnsi="Times New Roman"/>
            <w:sz w:val="18"/>
            <w:szCs w:val="18"/>
            <w:u w:val="single" w:color="auto"/>
            <w:color w:val="0000EE"/>
          </w:rPr>
          <w:t>Code of Business Conduct and Ethics (Incorporated by reference to Exhibit 14 of Registrant’s Form 10-K, filed with the SEC on March 29,</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Insider Trading Policy</w:t>
      </w:r>
    </w:p>
    <w:p>
      <w:pPr>
        <w:spacing w:after="0" w:line="9" w:lineRule="exact"/>
        <w:rPr>
          <w:sz w:val="20"/>
          <w:szCs w:val="20"/>
          <w:color w:val="auto"/>
        </w:rPr>
      </w:pPr>
    </w:p>
    <w:p>
      <w:pPr>
        <w:ind w:left="1140" w:hanging="1132"/>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List of Subsidiaries of the Registrant as of December 31, 2025</w:t>
      </w:r>
    </w:p>
    <w:tbl>
      <w:tblPr>
        <w:tblLayout w:type="fixed"/>
        <w:tblInd w:w="0" w:type="dxa"/>
        <w:tblCellMar>
          <w:top w:w="0" w:type="dxa"/>
          <w:left w:w="0" w:type="dxa"/>
          <w:bottom w:w="0" w:type="dxa"/>
          <w:right w:w="0" w:type="dxa"/>
        </w:tblCellMar>
      </w:tblPr>
      <w:tr>
        <w:trPr>
          <w:trHeight w:val="205"/>
        </w:trPr>
        <w:tc>
          <w:tcPr>
            <w:tcW w:w="11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tcBorders>
              <w:right w:val="single" w:sz="8" w:color="CCEEFF"/>
            </w:tcBorders>
            <w:gridSpan w:val="7"/>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EE"/>
              </w:rPr>
              <w:t>Consent of Forvis Mazars, LLP.</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230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Consent of KPMG LLP.</w:t>
            </w:r>
          </w:p>
        </w:tc>
        <w:tc>
          <w:tcPr>
            <w:tcW w:w="7800" w:type="dxa"/>
            <w:vAlign w:val="bottom"/>
            <w:tcBorders>
              <w:top w:val="single" w:sz="8" w:color="CCEE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right w:val="single" w:sz="8" w:color="CCEEFF"/>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13a-14(a)/15d-14(a) under the Securities Exchange Act of 1934, as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§302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Rule 13a-14(a)/15d-14(a) under the Securities Exchange Act of 1934, as adopted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pursuant to §302 of the Sarbanes-Oxley Act of 2002</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75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18 U.S.C. Section 1350 Certifications of the Principal Executive Officer and the Chief Financial Officer</w:t>
            </w:r>
          </w:p>
        </w:tc>
        <w:tc>
          <w:tcPr>
            <w:tcW w:w="2600" w:type="dxa"/>
            <w:vAlign w:val="bottom"/>
            <w:tcBorders>
              <w:bottom w:val="single" w:sz="8" w:color="CCEEFF"/>
              <w:right w:val="single" w:sz="8" w:color="CCEEFF"/>
            </w:tcBorders>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10100" w:type="dxa"/>
            <w:vAlign w:val="bottom"/>
            <w:gridSpan w:val="7"/>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Policy relating to recovery of erroneously awarded compensation (Incorporated by reference to Exhibit 97 of Registrant’s Form 10-K, filed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with the SEC on March 29,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140" w:hanging="1132"/>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w:t>
      </w:r>
    </w:p>
    <w:p>
      <w:pPr>
        <w:spacing w:after="0" w:line="206"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25" w:lineRule="exact"/>
        <w:rPr>
          <w:sz w:val="20"/>
          <w:szCs w:val="20"/>
          <w:color w:val="auto"/>
        </w:rPr>
      </w:pPr>
    </w:p>
    <w:p>
      <w:pPr>
        <w:jc w:val="both"/>
        <w:ind w:left="380" w:hanging="318"/>
        <w:spacing w:after="0" w:line="275"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Regulation S-K Item 601(a)(5), Item 601(a)(6) or Item 601(b)(10), as applicable, promulgated under the Exchange Act. The Registrant agrees to furnish supplementally a copy of any omitted schedule to the SEC upon request.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1"/>
                <w:szCs w:val="21"/>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Vincent S. Capone</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Vincent S. Capone</w:t>
            </w:r>
          </w:p>
        </w:tc>
        <w:tc>
          <w:tcPr>
            <w:tcW w:w="240" w:type="dxa"/>
            <w:vAlign w:val="bottom"/>
          </w:tcPr>
          <w:p>
            <w:pPr>
              <w:spacing w:after="0"/>
              <w:rPr>
                <w:sz w:val="20"/>
                <w:szCs w:val="20"/>
                <w:color w:val="auto"/>
              </w:rPr>
            </w:pPr>
          </w:p>
        </w:tc>
        <w:tc>
          <w:tcPr>
            <w:tcW w:w="5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Spieth</w:t>
            </w:r>
          </w:p>
        </w:tc>
        <w:tc>
          <w:tcPr>
            <w:tcW w:w="240" w:type="dxa"/>
            <w:vAlign w:val="bottom"/>
          </w:tcPr>
          <w:p>
            <w:pPr>
              <w:spacing w:after="0"/>
              <w:rPr>
                <w:sz w:val="24"/>
                <w:szCs w:val="24"/>
                <w:color w:val="auto"/>
              </w:rPr>
            </w:pPr>
          </w:p>
        </w:tc>
        <w:tc>
          <w:tcPr>
            <w:tcW w:w="5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Controller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2026</w:t>
            </w:r>
          </w:p>
        </w:tc>
      </w:tr>
      <w:tr>
        <w:trPr>
          <w:trHeight w:val="182"/>
        </w:trPr>
        <w:tc>
          <w:tcPr>
            <w:tcW w:w="33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Thomas Spieth</w:t>
            </w:r>
          </w:p>
        </w:tc>
        <w:tc>
          <w:tcPr>
            <w:tcW w:w="240" w:type="dxa"/>
            <w:vAlign w:val="bottom"/>
          </w:tcPr>
          <w:p>
            <w:pPr>
              <w:spacing w:after="0"/>
              <w:rPr>
                <w:sz w:val="15"/>
                <w:szCs w:val="15"/>
                <w:color w:val="auto"/>
              </w:rPr>
            </w:pPr>
          </w:p>
        </w:tc>
        <w:tc>
          <w:tcPr>
            <w:tcW w:w="538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p>
        </w:tc>
        <w:tc>
          <w:tcPr>
            <w:tcW w:w="2240" w:type="dxa"/>
            <w:vAlign w:val="bottom"/>
          </w:tcPr>
          <w:p>
            <w:pPr>
              <w:spacing w:after="0"/>
              <w:rPr>
                <w:sz w:val="15"/>
                <w:szCs w:val="15"/>
                <w:color w:val="auto"/>
              </w:rPr>
            </w:pPr>
          </w:p>
        </w:tc>
      </w:tr>
      <w:tr>
        <w:trPr>
          <w:trHeight w:val="236"/>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And Principal Accounting Officer</w:t>
            </w:r>
            <w:r>
              <w:rPr>
                <w:rFonts w:ascii="Times New Roman" w:cs="Times New Roman" w:eastAsia="Times New Roman" w:hAnsi="Times New Roman"/>
                <w:sz w:val="18"/>
                <w:szCs w:val="18"/>
                <w:color w:val="auto"/>
                <w:w w:val="99"/>
              </w:rPr>
              <w:t>)</w:t>
            </w:r>
          </w:p>
        </w:tc>
        <w:tc>
          <w:tcPr>
            <w:tcW w:w="2240" w:type="dxa"/>
            <w:vAlign w:val="bottom"/>
          </w:tcPr>
          <w:p>
            <w:pPr>
              <w:spacing w:after="0"/>
              <w:rPr>
                <w:sz w:val="20"/>
                <w:szCs w:val="20"/>
                <w:color w:val="auto"/>
              </w:rPr>
            </w:pP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Michael DiMaio</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 Michael DiMaio</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Cotton</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Richard Cotton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Mellish</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Martin Mellish</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Deepak Sadagopan</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Deepak Sadagopan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Marion Snyder</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Marion Snyder</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jc w:val="right"/>
              <w:ind w:right="297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 INSIDER TRADING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November 11, 2025</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Insider Trading Policy describes the standards of Spectral AI, Inc., a Delaware corporation and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trading, and causing the trading of, the Company’s securities or securities of certain other publicly traded companies while in possession of confidential information. This Policy is divided into two parts: the first part prohibits trading in certain circumstances and applies to all directors, officers and employees of the Company and their respective immediate family members, and the second part imposes special additional trading restrictions and applies to all (i) directors of the Company, (ii) executive officers of the Company (together with the directors, “</w:t>
      </w:r>
      <w:r>
        <w:rPr>
          <w:rFonts w:ascii="Times New Roman" w:cs="Times New Roman" w:eastAsia="Times New Roman" w:hAnsi="Times New Roman"/>
          <w:sz w:val="18"/>
          <w:szCs w:val="18"/>
          <w:b w:val="1"/>
          <w:bCs w:val="1"/>
          <w:color w:val="auto"/>
        </w:rPr>
        <w:t>Company Insiders</w:t>
      </w:r>
      <w:r>
        <w:rPr>
          <w:rFonts w:ascii="Times New Roman" w:cs="Times New Roman" w:eastAsia="Times New Roman" w:hAnsi="Times New Roman"/>
          <w:sz w:val="18"/>
          <w:szCs w:val="18"/>
          <w:color w:val="auto"/>
        </w:rPr>
        <w:t>”), (iii) the employees listed on Appendix A (collectively,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and (iv) certain other employees that the Company may designate from time to time as “Covered Persons” because of their position, responsibilities or their actual or potential access to material information.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the securities of certain other companies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Section 3 below. The prohibitions would apply to any director, officer or employee who buys or sells securities on the basis of material nonpublic information that he or she obtained about the Company, its customers, suppliers, partners, competitors or other companies with which the Company has contractual relationships or may be negotiating transactions.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Applicability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Policy applies to all trading or other transactions in (i)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 and (ii) the securities of certain other companies, including common stock, options and other securities issued by those companies as well as derivative securities relating to any of those companies’ securities, where the person trading used information obtained while working for the Company.</w:t>
      </w:r>
    </w:p>
    <w:p>
      <w:pPr>
        <w:spacing w:after="0" w:line="183"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Policy applies to all employees and officers of the Company and to all members of the Company’s board of directors and their respective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ind w:left="652" w:hanging="652"/>
        <w:spacing w:after="0"/>
        <w:tabs>
          <w:tab w:leader="none" w:pos="65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Policy: No Trading or Causing Trading While in Possession of Material Nonpublic Information</w:t>
      </w:r>
    </w:p>
    <w:p>
      <w:pPr>
        <w:spacing w:after="0" w:line="256" w:lineRule="exact"/>
        <w:rPr>
          <w:rFonts w:ascii="Times New Roman" w:cs="Times New Roman" w:eastAsia="Times New Roman" w:hAnsi="Times New Roman"/>
          <w:sz w:val="18"/>
          <w:szCs w:val="18"/>
          <w:b w:val="1"/>
          <w:bCs w:val="1"/>
          <w:color w:val="auto"/>
        </w:rPr>
      </w:pPr>
    </w:p>
    <w:p>
      <w:pPr>
        <w:jc w:val="both"/>
        <w:ind w:left="1292" w:hanging="644"/>
        <w:spacing w:after="0" w:line="266" w:lineRule="auto"/>
        <w:tabs>
          <w:tab w:leader="none" w:pos="1292"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director, officer or employee or any of their immediate family members may purchase or sell, or offer to purchase or sell, any Company security, whether or not issued by the Company, while in possession of material nonpublic information about the Company. (The terms “material” and “nonpublic” are defined in Part I, Section 3(a) and (b) below.)</w:t>
      </w:r>
    </w:p>
    <w:p>
      <w:pPr>
        <w:spacing w:after="0" w:line="202" w:lineRule="exact"/>
        <w:rPr>
          <w:rFonts w:ascii="Times New Roman" w:cs="Times New Roman" w:eastAsia="Times New Roman" w:hAnsi="Times New Roman"/>
          <w:sz w:val="18"/>
          <w:szCs w:val="18"/>
          <w:b w:val="1"/>
          <w:bCs w:val="1"/>
          <w:color w:val="auto"/>
        </w:rPr>
      </w:pPr>
    </w:p>
    <w:p>
      <w:pPr>
        <w:jc w:val="both"/>
        <w:ind w:left="1292" w:hanging="644"/>
        <w:spacing w:after="0" w:line="266" w:lineRule="auto"/>
        <w:tabs>
          <w:tab w:leader="none" w:pos="1292"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director, officer or employee or any of their immediate family members who knows of any material nonpublic information about the Company may communicate that information to (“</w:t>
      </w:r>
      <w:r>
        <w:rPr>
          <w:rFonts w:ascii="Times New Roman" w:cs="Times New Roman" w:eastAsia="Times New Roman" w:hAnsi="Times New Roman"/>
          <w:sz w:val="18"/>
          <w:szCs w:val="18"/>
          <w:b w:val="1"/>
          <w:bCs w:val="1"/>
          <w:color w:val="auto"/>
        </w:rPr>
        <w:t>tip</w:t>
      </w:r>
      <w:r>
        <w:rPr>
          <w:rFonts w:ascii="Times New Roman" w:cs="Times New Roman" w:eastAsia="Times New Roman" w:hAnsi="Times New Roman"/>
          <w:sz w:val="18"/>
          <w:szCs w:val="18"/>
          <w:color w:val="auto"/>
        </w:rPr>
        <w:t>”) any other person, including family members and friends, or otherwise disclose such information without the Company’s authorization.</w:t>
      </w:r>
    </w:p>
    <w:p>
      <w:pPr>
        <w:spacing w:after="0" w:line="202" w:lineRule="exact"/>
        <w:rPr>
          <w:rFonts w:ascii="Times New Roman" w:cs="Times New Roman" w:eastAsia="Times New Roman" w:hAnsi="Times New Roman"/>
          <w:sz w:val="18"/>
          <w:szCs w:val="18"/>
          <w:b w:val="1"/>
          <w:bCs w:val="1"/>
          <w:color w:val="auto"/>
        </w:rPr>
      </w:pPr>
    </w:p>
    <w:p>
      <w:pPr>
        <w:jc w:val="both"/>
        <w:ind w:left="1292" w:hanging="644"/>
        <w:spacing w:after="0" w:line="258" w:lineRule="auto"/>
        <w:tabs>
          <w:tab w:leader="none" w:pos="1292"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director, officer or employee or any of their immediate family members may purchase or sell any security of any other company while in possession of material nonpublic information that was obtained in the course of his or her involvement with the Company. No director, officer or employee or any of their immediate family members who knows of any such material nonpublic information may communicate that information to, or tip, any other person, including family members and friends, or otherwise disclose such information without the Company’s authorization.</w:t>
      </w:r>
    </w:p>
    <w:p>
      <w:pPr>
        <w:spacing w:after="0" w:line="210" w:lineRule="exact"/>
        <w:rPr>
          <w:rFonts w:ascii="Times New Roman" w:cs="Times New Roman" w:eastAsia="Times New Roman" w:hAnsi="Times New Roman"/>
          <w:sz w:val="18"/>
          <w:szCs w:val="18"/>
          <w:b w:val="1"/>
          <w:bCs w:val="1"/>
          <w:color w:val="auto"/>
        </w:rPr>
      </w:pPr>
    </w:p>
    <w:p>
      <w:pPr>
        <w:jc w:val="both"/>
        <w:ind w:left="1292" w:hanging="644"/>
        <w:spacing w:after="0" w:line="266" w:lineRule="auto"/>
        <w:tabs>
          <w:tab w:leader="none" w:pos="1292"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Compliance Officer (which is defined in Part I, Section 3(c) below).</w:t>
      </w:r>
    </w:p>
    <w:p>
      <w:pPr>
        <w:spacing w:after="0" w:line="202" w:lineRule="exact"/>
        <w:rPr>
          <w:rFonts w:ascii="Times New Roman" w:cs="Times New Roman" w:eastAsia="Times New Roman" w:hAnsi="Times New Roman"/>
          <w:sz w:val="18"/>
          <w:szCs w:val="18"/>
          <w:b w:val="1"/>
          <w:bCs w:val="1"/>
          <w:color w:val="auto"/>
        </w:rPr>
      </w:pPr>
    </w:p>
    <w:p>
      <w:pPr>
        <w:ind w:left="1292" w:right="20" w:hanging="644"/>
        <w:spacing w:after="0" w:line="282" w:lineRule="auto"/>
        <w:tabs>
          <w:tab w:leader="none" w:pos="1292"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Covered Persons must “pre-clear” all trading in securities of the Company in accordance with the procedures set forth in Part II, Section 3 below.</w:t>
      </w:r>
    </w:p>
    <w:p>
      <w:pPr>
        <w:spacing w:after="0" w:line="157"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52" w:lineRule="exact"/>
        <w:rPr>
          <w:rFonts w:ascii="Times New Roman" w:cs="Times New Roman" w:eastAsia="Times New Roman" w:hAnsi="Times New Roman"/>
          <w:sz w:val="18"/>
          <w:szCs w:val="18"/>
          <w:b w:val="1"/>
          <w:bCs w:val="1"/>
          <w:color w:val="auto"/>
        </w:rPr>
      </w:pPr>
    </w:p>
    <w:p>
      <w:pPr>
        <w:jc w:val="both"/>
        <w:ind w:left="1292" w:hanging="644"/>
        <w:spacing w:after="0" w:line="262" w:lineRule="auto"/>
        <w:tabs>
          <w:tab w:leader="none" w:pos="1292"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restrictions come into play only if the information you possess is “material.” Materiality, however, involves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180" w:lineRule="exact"/>
        <w:rPr>
          <w:rFonts w:ascii="Times New Roman" w:cs="Times New Roman" w:eastAsia="Times New Roman" w:hAnsi="Times New Roman"/>
          <w:sz w:val="18"/>
          <w:szCs w:val="18"/>
          <w:b w:val="1"/>
          <w:bCs w:val="1"/>
          <w:color w:val="auto"/>
        </w:rPr>
      </w:pPr>
    </w:p>
    <w:p>
      <w:pPr>
        <w:ind w:left="12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dealing with the following subjects is reasonably likely to be found material in particular situations:</w:t>
      </w:r>
    </w:p>
    <w:p>
      <w:pPr>
        <w:spacing w:after="0" w:line="225" w:lineRule="exact"/>
        <w:rPr>
          <w:rFonts w:ascii="Times New Roman" w:cs="Times New Roman" w:eastAsia="Times New Roman" w:hAnsi="Times New Roman"/>
          <w:sz w:val="18"/>
          <w:szCs w:val="18"/>
          <w:b w:val="1"/>
          <w:bCs w:val="1"/>
          <w:color w:val="auto"/>
        </w:rPr>
      </w:pPr>
    </w:p>
    <w:p>
      <w:pPr>
        <w:ind w:left="1952" w:hanging="656"/>
        <w:spacing w:after="0"/>
        <w:tabs>
          <w:tab w:leader="none" w:pos="1952"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Company’s prospects;</w:t>
      </w:r>
    </w:p>
    <w:p>
      <w:pPr>
        <w:spacing w:after="0" w:line="252"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write-downs in assets or increases in reserves;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572" w:hanging="106"/>
        <w:spacing w:after="0"/>
        <w:tabs>
          <w:tab w:leader="none" w:pos="5572"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27" w:right="339" w:bottom="1440" w:gutter="0" w:footer="0" w:header="0"/>
        </w:sectPr>
      </w:pPr>
    </w:p>
    <w:bookmarkStart w:id="114" w:name="page115"/>
    <w:bookmarkEnd w:id="114"/>
    <w:p>
      <w:pPr>
        <w:ind w:left="1284" w:hanging="636"/>
        <w:spacing w:after="0"/>
        <w:tabs>
          <w:tab w:leader="none" w:pos="12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regarding significant litigation or government agency investigations;</w:t>
      </w:r>
    </w:p>
    <w:p>
      <w:pPr>
        <w:spacing w:after="0" w:line="25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problems;</w:t>
      </w:r>
    </w:p>
    <w:p>
      <w:pPr>
        <w:spacing w:after="0" w:line="25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unusual gains or losses in major operations;</w:t>
      </w:r>
    </w:p>
    <w:p>
      <w:pPr>
        <w:spacing w:after="0" w:line="25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the Company’s management or the board of directors;</w:t>
      </w:r>
    </w:p>
    <w:p>
      <w:pPr>
        <w:spacing w:after="0" w:line="25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dividends;</w:t>
      </w:r>
    </w:p>
    <w:p>
      <w:pPr>
        <w:spacing w:after="0" w:line="25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borrowings;</w:t>
      </w:r>
    </w:p>
    <w:p>
      <w:pPr>
        <w:spacing w:after="0" w:line="25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accounting methods or policies;</w:t>
      </w:r>
    </w:p>
    <w:p>
      <w:pPr>
        <w:spacing w:after="0" w:line="25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or loss of a significant contract;</w:t>
      </w:r>
    </w:p>
    <w:p>
      <w:pPr>
        <w:spacing w:after="0" w:line="25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 including vulnerabilities and breaches;</w:t>
      </w:r>
    </w:p>
    <w:p>
      <w:pPr>
        <w:spacing w:after="0" w:line="25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debt ratings;</w:t>
      </w:r>
    </w:p>
    <w:p>
      <w:pPr>
        <w:spacing w:after="0" w:line="252" w:lineRule="exact"/>
        <w:rPr>
          <w:rFonts w:ascii="Times New Roman" w:cs="Times New Roman" w:eastAsia="Times New Roman" w:hAnsi="Times New Roman"/>
          <w:sz w:val="18"/>
          <w:szCs w:val="18"/>
          <w:color w:val="auto"/>
        </w:rPr>
      </w:pPr>
    </w:p>
    <w:p>
      <w:pPr>
        <w:ind w:left="1284" w:right="20" w:hanging="636"/>
        <w:spacing w:after="0" w:line="282" w:lineRule="auto"/>
        <w:tabs>
          <w:tab w:leader="none" w:pos="12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plans or agreements, even if preliminary in nature, involving mergers, acquisitions, divestitures, recapitalizations, strategic alliances, licensing arrangements, or purchases or sales of substantial assets; and</w:t>
      </w:r>
    </w:p>
    <w:p>
      <w:pPr>
        <w:spacing w:after="0" w:line="18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Company securities.</w:t>
      </w:r>
    </w:p>
    <w:p>
      <w:pPr>
        <w:spacing w:after="0" w:line="225"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 w:cs="Times New Roman" w:eastAsia="Times New Roman" w:hAnsi="Times New Roman"/>
          <w:sz w:val="18"/>
          <w:szCs w:val="18"/>
          <w:b w:val="1"/>
          <w:bCs w:val="1"/>
          <w:color w:val="auto"/>
        </w:rPr>
        <w:t>If you are unsure whether information is material, you should either consult the Compliance</w:t>
      </w:r>
    </w:p>
    <w:p>
      <w:pPr>
        <w:spacing w:after="0" w:line="5" w:lineRule="exact"/>
        <w:rPr>
          <w:sz w:val="20"/>
          <w:szCs w:val="20"/>
          <w:color w:val="auto"/>
        </w:rPr>
      </w:pPr>
    </w:p>
    <w:p>
      <w:pPr>
        <w:jc w:val="both"/>
        <w:ind w:left="4"/>
        <w:spacing w:after="0" w:line="260" w:lineRule="auto"/>
        <w:rPr>
          <w:sz w:val="20"/>
          <w:szCs w:val="20"/>
          <w:color w:val="auto"/>
        </w:rPr>
      </w:pPr>
      <w:r>
        <w:rPr>
          <w:rFonts w:ascii="Times New Roman" w:cs="Times New Roman" w:eastAsia="Times New Roman" w:hAnsi="Times New Roman"/>
          <w:sz w:val="18"/>
          <w:szCs w:val="18"/>
          <w:b w:val="1"/>
          <w:bCs w:val="1"/>
          <w:color w:val="auto"/>
        </w:rPr>
        <w:t>Officer before making any decision to disclose such information (other than to persons who need to know it) or to trade in or recommend securities to which that information relates or assume that the information is material.</w:t>
      </w:r>
    </w:p>
    <w:p>
      <w:pPr>
        <w:spacing w:after="0" w:line="177" w:lineRule="exact"/>
        <w:rPr>
          <w:sz w:val="20"/>
          <w:szCs w:val="20"/>
          <w:color w:val="auto"/>
        </w:rPr>
      </w:pPr>
    </w:p>
    <w:p>
      <w:pPr>
        <w:jc w:val="both"/>
        <w:ind w:left="644" w:hanging="644"/>
        <w:spacing w:after="0" w:line="259" w:lineRule="auto"/>
        <w:tabs>
          <w:tab w:leader="none" w:pos="64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prohibitions come into play only when you possess information that is material and “nonpublic.” The fact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w:t>
      </w:r>
    </w:p>
    <w:p>
      <w:pPr>
        <w:spacing w:after="0" w:line="200" w:lineRule="exact"/>
        <w:rPr>
          <w:rFonts w:ascii="Times New Roman" w:cs="Times New Roman" w:eastAsia="Times New Roman" w:hAnsi="Times New Roman"/>
          <w:sz w:val="18"/>
          <w:szCs w:val="18"/>
          <w:b w:val="1"/>
          <w:bCs w:val="1"/>
          <w:color w:val="auto"/>
        </w:rPr>
      </w:pPr>
    </w:p>
    <w:p>
      <w:pPr>
        <w:spacing w:after="0" w:line="226" w:lineRule="exact"/>
        <w:rPr>
          <w:rFonts w:ascii="Times New Roman" w:cs="Times New Roman" w:eastAsia="Times New Roman" w:hAnsi="Times New Roman"/>
          <w:sz w:val="18"/>
          <w:szCs w:val="18"/>
          <w:b w:val="1"/>
          <w:bCs w:val="1"/>
          <w:color w:val="auto"/>
        </w:rPr>
      </w:pPr>
    </w:p>
    <w:p>
      <w:pPr>
        <w:ind w:left="4924" w:hanging="106"/>
        <w:spacing w:after="0"/>
        <w:tabs>
          <w:tab w:leader="none" w:pos="49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31" w:right="339" w:bottom="1440" w:gutter="0" w:footer="0" w:header="0"/>
        </w:sectPr>
      </w:pPr>
    </w:p>
    <w:bookmarkStart w:id="115" w:name="page116"/>
    <w:bookmarkEnd w:id="115"/>
    <w:p>
      <w:pPr>
        <w:ind w:left="1292"/>
        <w:spacing w:after="0"/>
        <w:rPr>
          <w:sz w:val="20"/>
          <w:szCs w:val="20"/>
          <w:color w:val="auto"/>
        </w:rPr>
      </w:pPr>
      <w:r>
        <w:rPr>
          <w:rFonts w:ascii="Times New Roman" w:cs="Times New Roman" w:eastAsia="Times New Roman" w:hAnsi="Times New Roman"/>
          <w:sz w:val="18"/>
          <w:szCs w:val="18"/>
          <w:color w:val="auto"/>
        </w:rPr>
        <w:t>Nonpublic information may include:</w:t>
      </w:r>
    </w:p>
    <w:p>
      <w:pPr>
        <w:spacing w:after="0" w:line="225" w:lineRule="exact"/>
        <w:rPr>
          <w:sz w:val="20"/>
          <w:szCs w:val="20"/>
          <w:color w:val="auto"/>
        </w:rPr>
      </w:pPr>
    </w:p>
    <w:p>
      <w:pPr>
        <w:ind w:left="1952" w:hanging="656"/>
        <w:spacing w:after="0"/>
        <w:tabs>
          <w:tab w:leader="none" w:pos="19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to a select group of analysts or brokers or institutional investors;</w:t>
      </w:r>
    </w:p>
    <w:p>
      <w:pPr>
        <w:spacing w:after="0" w:line="252"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undisclosed facts that are the subject of rumors, even if the rumors are widely circulated; and</w:t>
      </w:r>
    </w:p>
    <w:p>
      <w:pPr>
        <w:spacing w:after="0" w:line="252" w:lineRule="exact"/>
        <w:rPr>
          <w:rFonts w:ascii="Times New Roman" w:cs="Times New Roman" w:eastAsia="Times New Roman" w:hAnsi="Times New Roman"/>
          <w:sz w:val="18"/>
          <w:szCs w:val="18"/>
          <w:color w:val="auto"/>
        </w:rPr>
      </w:pPr>
    </w:p>
    <w:p>
      <w:pPr>
        <w:jc w:val="both"/>
        <w:ind w:left="1932" w:hanging="636"/>
        <w:spacing w:after="0" w:line="266" w:lineRule="auto"/>
        <w:tabs>
          <w:tab w:leader="none" w:pos="19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172" w:lineRule="exact"/>
        <w:rPr>
          <w:sz w:val="20"/>
          <w:szCs w:val="20"/>
          <w:color w:val="auto"/>
        </w:rPr>
      </w:pPr>
    </w:p>
    <w:p>
      <w:pPr>
        <w:ind w:left="652"/>
        <w:spacing w:after="0" w:line="286" w:lineRule="auto"/>
        <w:rPr>
          <w:sz w:val="20"/>
          <w:szCs w:val="20"/>
          <w:color w:val="auto"/>
        </w:rPr>
      </w:pPr>
      <w:r>
        <w:rPr>
          <w:rFonts w:ascii="Times New Roman" w:cs="Times New Roman" w:eastAsia="Times New Roman" w:hAnsi="Times New Roman"/>
          <w:sz w:val="18"/>
          <w:szCs w:val="18"/>
          <w:b w:val="1"/>
          <w:bCs w:val="1"/>
          <w:color w:val="auto"/>
        </w:rPr>
        <w:t>As with questions of materiality, if you are not sure whether information is considered public, you should either consult with the Compliance Officer or assume that the information is nonpublic and treat it as confidential.</w:t>
      </w:r>
    </w:p>
    <w:p>
      <w:pPr>
        <w:spacing w:after="0" w:line="155" w:lineRule="exact"/>
        <w:rPr>
          <w:sz w:val="20"/>
          <w:szCs w:val="20"/>
          <w:color w:val="auto"/>
        </w:rPr>
      </w:pPr>
    </w:p>
    <w:p>
      <w:pPr>
        <w:ind w:left="1292" w:right="20" w:hanging="644"/>
        <w:spacing w:after="0" w:line="286" w:lineRule="auto"/>
        <w:tabs>
          <w:tab w:leader="none" w:pos="1292"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appointed the General Counsel as the Compliance Officer for this Policy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 The duties of the Compliance Officer include, but are not limited to, the following:</w:t>
      </w:r>
    </w:p>
    <w:p>
      <w:pPr>
        <w:spacing w:after="0" w:line="158" w:lineRule="exact"/>
        <w:rPr>
          <w:rFonts w:ascii="Times New Roman" w:cs="Times New Roman" w:eastAsia="Times New Roman" w:hAnsi="Times New Roman"/>
          <w:sz w:val="18"/>
          <w:szCs w:val="18"/>
          <w:b w:val="1"/>
          <w:bCs w:val="1"/>
          <w:color w:val="auto"/>
        </w:rPr>
      </w:pPr>
    </w:p>
    <w:p>
      <w:pPr>
        <w:ind w:left="1952" w:hanging="656"/>
        <w:spacing w:after="0"/>
        <w:tabs>
          <w:tab w:leader="none" w:pos="1952"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implementation and enforcement of this Policy;</w:t>
      </w:r>
    </w:p>
    <w:p>
      <w:pPr>
        <w:spacing w:after="0" w:line="252"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circulating this Policy to all employees and ensuring that this Policy is amended as necessary to remain up-to-date with insider trading laws;</w:t>
      </w:r>
    </w:p>
    <w:p>
      <w:pPr>
        <w:spacing w:after="0" w:line="188" w:lineRule="exact"/>
        <w:rPr>
          <w:rFonts w:ascii="Times New Roman" w:cs="Times New Roman" w:eastAsia="Times New Roman" w:hAnsi="Times New Roman"/>
          <w:sz w:val="18"/>
          <w:szCs w:val="18"/>
          <w:color w:val="auto"/>
        </w:rPr>
      </w:pPr>
    </w:p>
    <w:p>
      <w:pPr>
        <w:ind w:left="1932" w:hanging="636"/>
        <w:spacing w:after="0" w:line="282" w:lineRule="auto"/>
        <w:tabs>
          <w:tab w:leader="none" w:pos="1932"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pre-clearing all trading in securities of the Company by Covered Persons in accordance with the procedures set forth in Part II, Section 3 below; and</w:t>
      </w:r>
    </w:p>
    <w:p>
      <w:pPr>
        <w:spacing w:after="0" w:line="188" w:lineRule="exact"/>
        <w:rPr>
          <w:rFonts w:ascii="Times New Roman" w:cs="Times New Roman" w:eastAsia="Times New Roman" w:hAnsi="Times New Roman"/>
          <w:sz w:val="18"/>
          <w:szCs w:val="18"/>
          <w:color w:val="auto"/>
        </w:rPr>
      </w:pPr>
    </w:p>
    <w:p>
      <w:pPr>
        <w:ind w:left="1952" w:right="20" w:hanging="656"/>
        <w:spacing w:after="0" w:line="282" w:lineRule="auto"/>
        <w:tabs>
          <w:tab w:leader="none" w:pos="1952"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approval of any Rule 10b5-1 plans under Part II, Section 1(c) below and any prohibited transactions under Part II, Section 4 below.</w:t>
      </w:r>
    </w:p>
    <w:p>
      <w:pPr>
        <w:spacing w:after="0" w:line="188"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reporting system with an effective whistleblower protection mechanism.</w:t>
      </w:r>
    </w:p>
    <w:p>
      <w:pPr>
        <w:spacing w:after="0" w:line="22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Exceptions</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trading restrictions of this Policy do not apply to the following:</w:t>
      </w:r>
    </w:p>
    <w:p>
      <w:pPr>
        <w:spacing w:after="0" w:line="221" w:lineRule="exact"/>
        <w:rPr>
          <w:rFonts w:ascii="Times New Roman" w:cs="Times New Roman" w:eastAsia="Times New Roman" w:hAnsi="Times New Roman"/>
          <w:sz w:val="18"/>
          <w:szCs w:val="18"/>
          <w:b w:val="1"/>
          <w:bCs w:val="1"/>
          <w:color w:val="auto"/>
        </w:rPr>
      </w:pPr>
    </w:p>
    <w:p>
      <w:pPr>
        <w:ind w:left="1292" w:right="20" w:hanging="644"/>
        <w:spacing w:after="0" w:line="286" w:lineRule="auto"/>
        <w:tabs>
          <w:tab w:leader="none" w:pos="1292"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401(k)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Investing 401(k) plan contributions in a Company stock fund in accordance with the terms of the Company’s 401(k)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any changes in your investment election regarding the Company’s stock are subject to trading restrictions under this Policy.</w:t>
      </w:r>
    </w:p>
    <w:p>
      <w:pPr>
        <w:spacing w:after="0" w:line="200" w:lineRule="exact"/>
        <w:rPr>
          <w:rFonts w:ascii="Times New Roman" w:cs="Times New Roman" w:eastAsia="Times New Roman" w:hAnsi="Times New Roman"/>
          <w:sz w:val="18"/>
          <w:szCs w:val="18"/>
          <w:b w:val="1"/>
          <w:bCs w:val="1"/>
          <w:color w:val="auto"/>
        </w:rPr>
      </w:pPr>
    </w:p>
    <w:p>
      <w:pPr>
        <w:spacing w:after="0" w:line="201" w:lineRule="exact"/>
        <w:rPr>
          <w:rFonts w:ascii="Times New Roman" w:cs="Times New Roman" w:eastAsia="Times New Roman" w:hAnsi="Times New Roman"/>
          <w:sz w:val="18"/>
          <w:szCs w:val="18"/>
          <w:b w:val="1"/>
          <w:bCs w:val="1"/>
          <w:color w:val="auto"/>
        </w:rPr>
      </w:pPr>
    </w:p>
    <w:p>
      <w:pPr>
        <w:ind w:left="5572" w:hanging="106"/>
        <w:spacing w:after="0"/>
        <w:tabs>
          <w:tab w:leader="none" w:pos="5572"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6" w:name="page117"/>
    <w:bookmarkEnd w:id="116"/>
    <w:p>
      <w:pPr>
        <w:jc w:val="both"/>
        <w:ind w:left="1292" w:hanging="644"/>
        <w:spacing w:after="0" w:line="259" w:lineRule="auto"/>
        <w:tabs>
          <w:tab w:leader="none" w:pos="1292"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Purchasing Company stock through periodic, automatic payroll contributions to the Company’s Employee Stock Purchase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However, electing to enroll in the ESPP, making any changes in your elections under the ESPP and selling any Company stock acquired under the ESPP are subject to trading restrictions under this Policy.</w:t>
      </w:r>
    </w:p>
    <w:p>
      <w:pPr>
        <w:jc w:val="both"/>
        <w:ind w:left="1292" w:hanging="644"/>
        <w:spacing w:after="0" w:line="255" w:lineRule="auto"/>
        <w:tabs>
          <w:tab w:leader="none" w:pos="1292"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Exercising stock options granted under the Company’s 2023 Long Term Incentive Plan for cash or the delivery of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Company stock. However, the sale of any shares issued on the exercise of Company-granted stock options and any cashless exercise of Company-granted stock options are subject to trading restrictions under this Policy.</w:t>
      </w:r>
    </w:p>
    <w:p>
      <w:pPr>
        <w:spacing w:after="0" w:line="18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Violations of Insider Trading Laws</w:t>
      </w:r>
    </w:p>
    <w:p>
      <w:pPr>
        <w:spacing w:after="0" w:line="229" w:lineRule="exact"/>
        <w:rPr>
          <w:rFonts w:ascii="Times New Roman" w:cs="Times New Roman" w:eastAsia="Times New Roman" w:hAnsi="Times New Roman"/>
          <w:sz w:val="18"/>
          <w:szCs w:val="18"/>
          <w:b w:val="1"/>
          <w:bCs w:val="1"/>
          <w:color w:val="auto"/>
        </w:rPr>
      </w:pPr>
    </w:p>
    <w:p>
      <w:pPr>
        <w:jc w:val="both"/>
        <w:ind w:left="65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w:t>
      </w:r>
    </w:p>
    <w:p>
      <w:pPr>
        <w:spacing w:after="0" w:line="171" w:lineRule="exact"/>
        <w:rPr>
          <w:rFonts w:ascii="Times New Roman" w:cs="Times New Roman" w:eastAsia="Times New Roman" w:hAnsi="Times New Roman"/>
          <w:sz w:val="18"/>
          <w:szCs w:val="18"/>
          <w:b w:val="1"/>
          <w:bCs w:val="1"/>
          <w:color w:val="auto"/>
        </w:rPr>
      </w:pPr>
    </w:p>
    <w:p>
      <w:pPr>
        <w:jc w:val="both"/>
        <w:ind w:left="1292" w:hanging="644"/>
        <w:spacing w:after="0" w:line="268" w:lineRule="auto"/>
        <w:tabs>
          <w:tab w:leader="none" w:pos="1292"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Legal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person who violates insider trading laws by engaging in transactions in a company’s securities when he or she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nonpublic information can be sentenced to a substantial jail term and required to pay a criminal penalty of several times the amount of profits gained or losses avoided.</w:t>
      </w:r>
    </w:p>
    <w:p>
      <w:pPr>
        <w:spacing w:after="0" w:line="174" w:lineRule="exact"/>
        <w:rPr>
          <w:rFonts w:ascii="Times New Roman" w:cs="Times New Roman" w:eastAsia="Times New Roman" w:hAnsi="Times New Roman"/>
          <w:sz w:val="18"/>
          <w:szCs w:val="18"/>
          <w:b w:val="1"/>
          <w:bCs w:val="1"/>
          <w:color w:val="auto"/>
        </w:rPr>
      </w:pPr>
    </w:p>
    <w:p>
      <w:pPr>
        <w:jc w:val="both"/>
        <w:ind w:left="129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spacing w:after="0" w:line="175" w:lineRule="exact"/>
        <w:rPr>
          <w:rFonts w:ascii="Times New Roman" w:cs="Times New Roman" w:eastAsia="Times New Roman" w:hAnsi="Times New Roman"/>
          <w:sz w:val="18"/>
          <w:szCs w:val="18"/>
          <w:b w:val="1"/>
          <w:bCs w:val="1"/>
          <w:color w:val="auto"/>
        </w:rPr>
      </w:pPr>
    </w:p>
    <w:p>
      <w:pPr>
        <w:jc w:val="both"/>
        <w:ind w:left="129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$2,301,065 or three times the amount of the profits gained or losses avoided. Even for violations that result in a small or no profit, the SEC can seek penalties from a company and/or its management and supervisory personnel as control persons.</w:t>
      </w:r>
    </w:p>
    <w:p>
      <w:pPr>
        <w:spacing w:after="0" w:line="179" w:lineRule="exact"/>
        <w:rPr>
          <w:rFonts w:ascii="Times New Roman" w:cs="Times New Roman" w:eastAsia="Times New Roman" w:hAnsi="Times New Roman"/>
          <w:sz w:val="18"/>
          <w:szCs w:val="18"/>
          <w:b w:val="1"/>
          <w:bCs w:val="1"/>
          <w:color w:val="auto"/>
        </w:rPr>
      </w:pPr>
    </w:p>
    <w:p>
      <w:pPr>
        <w:jc w:val="both"/>
        <w:ind w:left="1292" w:hanging="644"/>
        <w:spacing w:after="0" w:line="268" w:lineRule="auto"/>
        <w:tabs>
          <w:tab w:leader="none" w:pos="1292"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Company-Imposed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who violate this Policy may be subject to disciplinary action by the Company,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dismissal for cause. Any exceptions to the Policy, if permitted, may only be granted by the Compliance Officer and must be provided before any activity contrary to the above requirements takes place.</w:t>
      </w:r>
    </w:p>
    <w:p>
      <w:pPr>
        <w:spacing w:after="0" w:line="170"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Inquiries</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have any questions regarding any of the provisions of this Policy, please contact the Compliance Officer at capone@spectralmd.com.</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5572" w:hanging="106"/>
        <w:spacing w:after="0"/>
        <w:tabs>
          <w:tab w:leader="none" w:pos="557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27"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Blackout Periods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Covered Persons are prohibited from trading in the Company’s securities during blackout periods as defined below.</w:t>
      </w:r>
    </w:p>
    <w:p>
      <w:pPr>
        <w:spacing w:after="0" w:line="221" w:lineRule="exact"/>
        <w:rPr>
          <w:rFonts w:ascii="Times New Roman" w:cs="Times New Roman" w:eastAsia="Times New Roman" w:hAnsi="Times New Roman"/>
          <w:sz w:val="18"/>
          <w:szCs w:val="18"/>
          <w:b w:val="1"/>
          <w:bCs w:val="1"/>
          <w:color w:val="auto"/>
        </w:rPr>
      </w:pPr>
    </w:p>
    <w:p>
      <w:pPr>
        <w:jc w:val="both"/>
        <w:ind w:left="1300" w:hanging="644"/>
        <w:spacing w:after="0" w:line="262" w:lineRule="auto"/>
        <w:tabs>
          <w:tab w:leader="none" w:pos="130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Quarterly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in the Company’s securities is prohibited during the period beginning on the last day of a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and ending at the close of business on the first trading day following the date the Company’s financial results are publicly disclosed. During these periods, Covered Persons generally possess or are presumed to possess material nonpublic information about the Company’s financial results.</w:t>
      </w:r>
    </w:p>
    <w:p>
      <w:pPr>
        <w:spacing w:after="0" w:line="203" w:lineRule="exact"/>
        <w:rPr>
          <w:rFonts w:ascii="Times New Roman" w:cs="Times New Roman" w:eastAsia="Times New Roman" w:hAnsi="Times New Roman"/>
          <w:sz w:val="18"/>
          <w:szCs w:val="18"/>
          <w:b w:val="1"/>
          <w:bCs w:val="1"/>
          <w:color w:val="auto"/>
        </w:rPr>
      </w:pPr>
    </w:p>
    <w:p>
      <w:pPr>
        <w:jc w:val="both"/>
        <w:ind w:left="1300" w:hanging="644"/>
        <w:spacing w:after="0" w:line="259" w:lineRule="auto"/>
        <w:tabs>
          <w:tab w:leader="none" w:pos="130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other types of material nonpublic information regarding the Company (such as negotiation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mergers, acquisitions or dispositions, investigation and assessment of cybersecurity incidents or new product developments)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w:t>
      </w:r>
    </w:p>
    <w:p>
      <w:pPr>
        <w:spacing w:after="0" w:line="206" w:lineRule="exact"/>
        <w:rPr>
          <w:rFonts w:ascii="Times New Roman" w:cs="Times New Roman" w:eastAsia="Times New Roman" w:hAnsi="Times New Roman"/>
          <w:sz w:val="18"/>
          <w:szCs w:val="18"/>
          <w:b w:val="1"/>
          <w:bCs w:val="1"/>
          <w:color w:val="auto"/>
        </w:rPr>
      </w:pPr>
    </w:p>
    <w:p>
      <w:pPr>
        <w:ind w:left="1300" w:right="20" w:hanging="644"/>
        <w:spacing w:after="0" w:line="286" w:lineRule="auto"/>
        <w:tabs>
          <w:tab w:leader="none" w:pos="130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Exception.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trading restrictions do not apply to transactions under a pre-existing written plan, contract, instruction, or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Rule 10b5-1 under the Securities Exchange Act of 1934 (an “</w:t>
      </w:r>
      <w:r>
        <w:rPr>
          <w:rFonts w:ascii="Times New Roman" w:cs="Times New Roman" w:eastAsia="Times New Roman" w:hAnsi="Times New Roman"/>
          <w:sz w:val="18"/>
          <w:szCs w:val="18"/>
          <w:b w:val="1"/>
          <w:bCs w:val="1"/>
          <w:color w:val="auto"/>
        </w:rPr>
        <w:t>Approved 10b5-1 Plan</w:t>
      </w:r>
      <w:r>
        <w:rPr>
          <w:rFonts w:ascii="Times New Roman" w:cs="Times New Roman" w:eastAsia="Times New Roman" w:hAnsi="Times New Roman"/>
          <w:sz w:val="18"/>
          <w:szCs w:val="18"/>
          <w:color w:val="auto"/>
        </w:rPr>
        <w:t>”) that meet the following requirements:</w:t>
      </w:r>
    </w:p>
    <w:p>
      <w:pPr>
        <w:spacing w:after="0" w:line="185" w:lineRule="exact"/>
        <w:rPr>
          <w:rFonts w:ascii="Times New Roman" w:cs="Times New Roman" w:eastAsia="Times New Roman" w:hAnsi="Times New Roman"/>
          <w:sz w:val="18"/>
          <w:szCs w:val="18"/>
          <w:b w:val="1"/>
          <w:bCs w:val="1"/>
          <w:color w:val="auto"/>
        </w:rPr>
      </w:pPr>
    </w:p>
    <w:p>
      <w:pPr>
        <w:jc w:val="both"/>
        <w:ind w:left="1960" w:hanging="656"/>
        <w:spacing w:after="0" w:line="266" w:lineRule="auto"/>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reviewed and approved by the Compliance Officer at least five days in advance of being entered into (or, if revised or amended, such proposed revisions or amendments have been reviewed and approved by the Compliance Officer at least five days in advance of being entered into);</w:t>
      </w:r>
    </w:p>
    <w:p>
      <w:pPr>
        <w:spacing w:after="0" w:line="175" w:lineRule="exact"/>
        <w:rPr>
          <w:rFonts w:ascii="Times New Roman" w:cs="Times New Roman" w:eastAsia="Times New Roman" w:hAnsi="Times New Roman"/>
          <w:sz w:val="18"/>
          <w:szCs w:val="18"/>
          <w:color w:val="auto"/>
        </w:rPr>
      </w:pPr>
    </w:p>
    <w:p>
      <w:pPr>
        <w:jc w:val="both"/>
        <w:ind w:left="1940" w:hanging="636"/>
        <w:spacing w:after="0" w:line="255" w:lineRule="auto"/>
        <w:tabs>
          <w:tab w:leader="none" w:pos="194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provides that no trades may occur thereunder until expiration of the applicable cooling-off period specified in Rule 10b5-1(c) (ii)(B), and no trades occur until after that time. The appropriate cooling-off period will vary based on the status of the Covered Person. For directors and officers, the cooling-off period ends on the later of (x) ninety days after adoption or certain modifications of the 10b5-1 plan; or (y) two business days following disclosure of the Company’s financial results in a Form 10-Q or Form 10-K for the quarter in which the 10b5-1 plan was adopted. For all other Covered Persons, the cooling-off period ends 30 days after adoption or modification of the 10b5-1 plan. This required cooling-off period will apply to the entry into a new 10b5-1 plan and any revision or modification of a 10b5-1 plan;</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jc w:val="both"/>
        <w:ind w:left="1932" w:hanging="636"/>
        <w:spacing w:after="0" w:line="261" w:lineRule="auto"/>
        <w:tabs>
          <w:tab w:leader="none" w:pos="19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entered into in good faith by the Covered Person, and not as part of a plan or scheme to evade the prohibitions of Rule 10b5-1, at a time when the Covered Person is not in possession of material nonpublic information about the Company; and, if the Covered Person is a director or officer, the 10b5-1 plan must include representations by the Covered Person certifying to that effect;</w:t>
      </w:r>
    </w:p>
    <w:p>
      <w:pPr>
        <w:spacing w:after="0" w:line="206" w:lineRule="exact"/>
        <w:rPr>
          <w:rFonts w:ascii="Times New Roman" w:cs="Times New Roman" w:eastAsia="Times New Roman" w:hAnsi="Times New Roman"/>
          <w:sz w:val="18"/>
          <w:szCs w:val="18"/>
          <w:color w:val="auto"/>
        </w:rPr>
      </w:pPr>
    </w:p>
    <w:p>
      <w:pPr>
        <w:jc w:val="both"/>
        <w:ind w:left="1952" w:hanging="656"/>
        <w:spacing w:after="0" w:line="261" w:lineRule="auto"/>
        <w:tabs>
          <w:tab w:leader="none" w:pos="19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w:t>
      </w:r>
    </w:p>
    <w:p>
      <w:pPr>
        <w:spacing w:after="0" w:line="206"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only outstanding Approved 10b5-1 Plan entered into by the Covered Person (subject to the exceptions set out in Rule 10b5-1(c)(ii)(D)).</w:t>
      </w:r>
    </w:p>
    <w:p>
      <w:pPr>
        <w:spacing w:after="0" w:line="162" w:lineRule="exact"/>
        <w:rPr>
          <w:sz w:val="20"/>
          <w:szCs w:val="20"/>
          <w:color w:val="auto"/>
        </w:rPr>
      </w:pPr>
    </w:p>
    <w:p>
      <w:pPr>
        <w:jc w:val="both"/>
        <w:ind w:left="1292"/>
        <w:spacing w:after="0" w:line="261" w:lineRule="auto"/>
        <w:rPr>
          <w:sz w:val="20"/>
          <w:szCs w:val="20"/>
          <w:color w:val="auto"/>
        </w:rPr>
      </w:pPr>
      <w:r>
        <w:rPr>
          <w:rFonts w:ascii="Times New Roman" w:cs="Times New Roman" w:eastAsia="Times New Roman" w:hAnsi="Times New Roman"/>
          <w:sz w:val="18"/>
          <w:szCs w:val="18"/>
          <w:color w:val="auto"/>
        </w:rPr>
        <w:t>If you are considering entering into, modifying or terminating an Approved 10b5-1 Plan or have any questions regarding Approved Rule 10b5-1 Plans, please contact the Compliance Officer at capone@spectralmd.com. You should consult your own legal and tax advisors before entering into, or modifying or terminating, an Approved 10b5-1 Plan. A trading plan, contract, instruction or arrangement will not qualify as an Approved 10b5-1 Plan without the prior review and approval of the Compliance Officer as described above.</w:t>
      </w:r>
    </w:p>
    <w:p>
      <w:pPr>
        <w:spacing w:after="0" w:line="176" w:lineRule="exact"/>
        <w:rPr>
          <w:sz w:val="20"/>
          <w:szCs w:val="20"/>
          <w:color w:val="auto"/>
        </w:rPr>
      </w:pPr>
    </w:p>
    <w:p>
      <w:pPr>
        <w:ind w:left="652" w:hanging="652"/>
        <w:spacing w:after="0"/>
        <w:tabs>
          <w:tab w:leader="none" w:pos="65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Window</w:t>
      </w:r>
    </w:p>
    <w:p>
      <w:pPr>
        <w:spacing w:after="0" w:line="229" w:lineRule="exact"/>
        <w:rPr>
          <w:rFonts w:ascii="Times New Roman" w:cs="Times New Roman" w:eastAsia="Times New Roman" w:hAnsi="Times New Roman"/>
          <w:sz w:val="18"/>
          <w:szCs w:val="18"/>
          <w:b w:val="1"/>
          <w:bCs w:val="1"/>
          <w:color w:val="auto"/>
        </w:rPr>
      </w:pPr>
    </w:p>
    <w:p>
      <w:pPr>
        <w:jc w:val="both"/>
        <w:ind w:left="65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Covered Persons are permitted to trade in the Company’s securities when no blackout period is in effect. Generally, this means that Covered Persons can trade during the period beginning on the close of business on the second trading day following the date the Company’s financial results are publicly disclosed and ending 14 calendar days before the end of each fiscal quarter.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w:t>
      </w:r>
    </w:p>
    <w:p>
      <w:pPr>
        <w:spacing w:after="0" w:line="183"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Pre-Clearance of Securities Transactions</w:t>
      </w:r>
    </w:p>
    <w:p>
      <w:pPr>
        <w:spacing w:after="0" w:line="256" w:lineRule="exact"/>
        <w:rPr>
          <w:rFonts w:ascii="Times New Roman" w:cs="Times New Roman" w:eastAsia="Times New Roman" w:hAnsi="Times New Roman"/>
          <w:sz w:val="18"/>
          <w:szCs w:val="18"/>
          <w:b w:val="1"/>
          <w:bCs w:val="1"/>
          <w:color w:val="auto"/>
        </w:rPr>
      </w:pPr>
    </w:p>
    <w:p>
      <w:pPr>
        <w:jc w:val="both"/>
        <w:ind w:left="1292" w:hanging="644"/>
        <w:spacing w:after="0" w:line="266" w:lineRule="auto"/>
        <w:tabs>
          <w:tab w:leader="none" w:pos="1292"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Because Company Insiders are likely to obtain material nonpublic information on a regular basis, the Company requires all such persons to refrain from trading, even during a trading window under Part II, Section 2 above, without first pre-clearing all transactions in the Company’s securities.</w:t>
      </w:r>
    </w:p>
    <w:p>
      <w:pPr>
        <w:spacing w:after="0" w:line="200" w:lineRule="exact"/>
        <w:rPr>
          <w:rFonts w:ascii="Times New Roman" w:cs="Times New Roman" w:eastAsia="Times New Roman" w:hAnsi="Times New Roman"/>
          <w:sz w:val="18"/>
          <w:szCs w:val="18"/>
          <w:b w:val="1"/>
          <w:bCs w:val="1"/>
          <w:color w:val="auto"/>
        </w:rPr>
      </w:pPr>
    </w:p>
    <w:p>
      <w:pPr>
        <w:spacing w:after="0" w:line="218" w:lineRule="exact"/>
        <w:rPr>
          <w:rFonts w:ascii="Times New Roman" w:cs="Times New Roman" w:eastAsia="Times New Roman" w:hAnsi="Times New Roman"/>
          <w:sz w:val="18"/>
          <w:szCs w:val="18"/>
          <w:b w:val="1"/>
          <w:bCs w:val="1"/>
          <w:color w:val="auto"/>
        </w:rPr>
      </w:pPr>
    </w:p>
    <w:p>
      <w:pPr>
        <w:ind w:left="5572" w:hanging="106"/>
        <w:spacing w:after="0"/>
        <w:tabs>
          <w:tab w:leader="none" w:pos="557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31" w:right="339" w:bottom="1440" w:gutter="0" w:footer="0" w:header="0"/>
        </w:sectPr>
      </w:pPr>
    </w:p>
    <w:bookmarkStart w:id="119" w:name="page120"/>
    <w:bookmarkEnd w:id="119"/>
    <w:p>
      <w:pPr>
        <w:jc w:val="both"/>
        <w:ind w:left="1292" w:hanging="644"/>
        <w:spacing w:after="0" w:line="261" w:lineRule="auto"/>
        <w:tabs>
          <w:tab w:leader="none" w:pos="1292"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exemption in subsection (d) below, no Company Insider may, directly or indirectly, purchase or sell (or otherwise make any transfer, gift, pledge or loan of) any Company security at any time without first obtaining prior approval from the Compliance Officer. These procedures also apply to transactions by such person’s spouse, other persons living in such person’s household and minor children and to transactions by entities over which such person exercises control.</w:t>
      </w:r>
    </w:p>
    <w:p>
      <w:pPr>
        <w:spacing w:after="0" w:line="206" w:lineRule="exact"/>
        <w:rPr>
          <w:rFonts w:ascii="Times New Roman" w:cs="Times New Roman" w:eastAsia="Times New Roman" w:hAnsi="Times New Roman"/>
          <w:sz w:val="18"/>
          <w:szCs w:val="18"/>
          <w:b w:val="1"/>
          <w:bCs w:val="1"/>
          <w:color w:val="auto"/>
        </w:rPr>
      </w:pPr>
    </w:p>
    <w:p>
      <w:pPr>
        <w:jc w:val="both"/>
        <w:ind w:left="1292" w:hanging="644"/>
        <w:spacing w:after="0" w:line="266" w:lineRule="auto"/>
        <w:tabs>
          <w:tab w:leader="none" w:pos="1292"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Compliance Officer shall record the date each request is received and the date and time each request is approved or disapproved. Unless revoked, a grant of permission will normally remain valid until the close of trading two business days following the day on which it was granted. If the transaction does not occur during the two-day period, pre-clearance of the transaction must be re-requested.</w:t>
      </w:r>
    </w:p>
    <w:p>
      <w:pPr>
        <w:spacing w:after="0" w:line="202" w:lineRule="exact"/>
        <w:rPr>
          <w:rFonts w:ascii="Times New Roman" w:cs="Times New Roman" w:eastAsia="Times New Roman" w:hAnsi="Times New Roman"/>
          <w:sz w:val="18"/>
          <w:szCs w:val="18"/>
          <w:b w:val="1"/>
          <w:bCs w:val="1"/>
          <w:color w:val="auto"/>
        </w:rPr>
      </w:pPr>
    </w:p>
    <w:p>
      <w:pPr>
        <w:jc w:val="both"/>
        <w:ind w:left="1292" w:hanging="644"/>
        <w:spacing w:after="0" w:line="261" w:lineRule="auto"/>
        <w:tabs>
          <w:tab w:leader="none" w:pos="1292"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Pre-clearance is not required for purchases and sales of securities under an Approved 10b5-1 Plan once the applicable cooling-off period has expired. No trades may be made under an Approved 10b5-1 Plan until expiration of the applicable cooling-off period. With respect to any purchase or sale under an Approved 10b5-1 Plan, the third party effecting transactions on behalf of the Company Insider should be instructed to send duplicate confirmations of all such transactions to the Compliance Officer.</w:t>
      </w:r>
    </w:p>
    <w:p>
      <w:pPr>
        <w:spacing w:after="0" w:line="175"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Prohibited Transactions</w:t>
      </w:r>
    </w:p>
    <w:p>
      <w:pPr>
        <w:spacing w:after="0" w:line="256" w:lineRule="exact"/>
        <w:rPr>
          <w:rFonts w:ascii="Times New Roman" w:cs="Times New Roman" w:eastAsia="Times New Roman" w:hAnsi="Times New Roman"/>
          <w:sz w:val="18"/>
          <w:szCs w:val="18"/>
          <w:b w:val="1"/>
          <w:bCs w:val="1"/>
          <w:color w:val="auto"/>
        </w:rPr>
      </w:pPr>
    </w:p>
    <w:p>
      <w:pPr>
        <w:jc w:val="both"/>
        <w:ind w:left="1292" w:hanging="644"/>
        <w:spacing w:after="0" w:line="261" w:lineRule="auto"/>
        <w:tabs>
          <w:tab w:leader="none" w:pos="1292"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Insiders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206" w:lineRule="exact"/>
        <w:rPr>
          <w:rFonts w:ascii="Times New Roman" w:cs="Times New Roman" w:eastAsia="Times New Roman" w:hAnsi="Times New Roman"/>
          <w:sz w:val="18"/>
          <w:szCs w:val="18"/>
          <w:b w:val="1"/>
          <w:bCs w:val="1"/>
          <w:color w:val="auto"/>
        </w:rPr>
      </w:pPr>
    </w:p>
    <w:p>
      <w:pPr>
        <w:jc w:val="both"/>
        <w:ind w:left="1292" w:hanging="644"/>
        <w:spacing w:after="0" w:line="266" w:lineRule="auto"/>
        <w:tabs>
          <w:tab w:leader="none" w:pos="1292"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Covered Persons, including any person’s spouse, other persons living in such person’s household and minor children and entities over which such person exercises control, are prohibited from engaging in the following transactions in the Company’s securities unless advance approval is obtained from the Compliance Officer:</w:t>
      </w:r>
    </w:p>
    <w:p>
      <w:pPr>
        <w:spacing w:after="0" w:line="175" w:lineRule="exact"/>
        <w:rPr>
          <w:rFonts w:ascii="Times New Roman" w:cs="Times New Roman" w:eastAsia="Times New Roman" w:hAnsi="Times New Roman"/>
          <w:sz w:val="18"/>
          <w:szCs w:val="18"/>
          <w:b w:val="1"/>
          <w:bCs w:val="1"/>
          <w:color w:val="auto"/>
        </w:rPr>
      </w:pPr>
    </w:p>
    <w:p>
      <w:pPr>
        <w:ind w:left="1952" w:hanging="656"/>
        <w:spacing w:after="0" w:line="282" w:lineRule="auto"/>
        <w:tabs>
          <w:tab w:leader="none" w:pos="195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Short-term trading.</w:t>
      </w:r>
      <w:r>
        <w:rPr>
          <w:rFonts w:ascii="Times New Roman" w:cs="Times New Roman" w:eastAsia="Times New Roman" w:hAnsi="Times New Roman"/>
          <w:sz w:val="18"/>
          <w:szCs w:val="18"/>
          <w:color w:val="auto"/>
        </w:rPr>
        <w:t xml:space="preserve"> Company Insiders who purchase Company securities may not sell any Company securities of the same class for at least six months after the purchase;</w:t>
      </w:r>
    </w:p>
    <w:p>
      <w:pPr>
        <w:spacing w:after="0" w:line="188"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xml:space="preserve"> Company Insiders and Covered Persons may not sell the Company’s securities short;</w:t>
      </w:r>
    </w:p>
    <w:p>
      <w:pPr>
        <w:spacing w:after="0" w:line="252" w:lineRule="exact"/>
        <w:rPr>
          <w:rFonts w:ascii="Times New Roman" w:cs="Times New Roman" w:eastAsia="Times New Roman" w:hAnsi="Times New Roman"/>
          <w:sz w:val="18"/>
          <w:szCs w:val="18"/>
          <w:color w:val="auto"/>
        </w:rPr>
      </w:pPr>
    </w:p>
    <w:p>
      <w:pPr>
        <w:ind w:left="1932" w:hanging="636"/>
        <w:spacing w:after="0"/>
        <w:tabs>
          <w:tab w:leader="none" w:pos="193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trading.</w:t>
      </w:r>
      <w:r>
        <w:rPr>
          <w:rFonts w:ascii="Times New Roman" w:cs="Times New Roman" w:eastAsia="Times New Roman" w:hAnsi="Times New Roman"/>
          <w:sz w:val="18"/>
          <w:szCs w:val="18"/>
          <w:color w:val="auto"/>
        </w:rPr>
        <w:t xml:space="preserve"> Covered Persons may not buy or sell puts or calls or other derivative securities on the Company’s securities;</w:t>
      </w:r>
    </w:p>
    <w:p>
      <w:pPr>
        <w:spacing w:after="0" w:line="252"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on margin or pledging.</w:t>
      </w:r>
      <w:r>
        <w:rPr>
          <w:rFonts w:ascii="Times New Roman" w:cs="Times New Roman" w:eastAsia="Times New Roman" w:hAnsi="Times New Roman"/>
          <w:sz w:val="18"/>
          <w:szCs w:val="18"/>
          <w:color w:val="auto"/>
        </w:rPr>
        <w:t xml:space="preserve"> Covered Persons may not hold Company securities in a margin account or pledge Company securities as collateral for a loan; and</w:t>
      </w:r>
    </w:p>
    <w:p>
      <w:pPr>
        <w:spacing w:after="0" w:line="188"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w:t>
      </w:r>
      <w:r>
        <w:rPr>
          <w:rFonts w:ascii="Times New Roman" w:cs="Times New Roman" w:eastAsia="Times New Roman" w:hAnsi="Times New Roman"/>
          <w:sz w:val="18"/>
          <w:szCs w:val="18"/>
          <w:color w:val="auto"/>
        </w:rPr>
        <w:t xml:space="preserve"> Covered Persons may not enter into hedging or monetization transactions or similar arrangements with respect to Company securities.</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Acknowledgment and Certification</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Covered Persons are required to sign the attached acknowledgment and certification.</w:t>
      </w:r>
    </w:p>
    <w:p>
      <w:pPr>
        <w:spacing w:after="0" w:line="200" w:lineRule="exact"/>
        <w:rPr>
          <w:rFonts w:ascii="Times New Roman" w:cs="Times New Roman" w:eastAsia="Times New Roman" w:hAnsi="Times New Roman"/>
          <w:sz w:val="18"/>
          <w:szCs w:val="18"/>
          <w:b w:val="1"/>
          <w:bCs w:val="1"/>
          <w:color w:val="auto"/>
        </w:rPr>
      </w:pPr>
    </w:p>
    <w:p>
      <w:pPr>
        <w:spacing w:after="0" w:line="268" w:lineRule="exact"/>
        <w:rPr>
          <w:rFonts w:ascii="Times New Roman" w:cs="Times New Roman" w:eastAsia="Times New Roman" w:hAnsi="Times New Roman"/>
          <w:sz w:val="18"/>
          <w:szCs w:val="18"/>
          <w:b w:val="1"/>
          <w:bCs w:val="1"/>
          <w:color w:val="auto"/>
        </w:rPr>
      </w:pPr>
    </w:p>
    <w:p>
      <w:pPr>
        <w:ind w:left="5572" w:hanging="106"/>
        <w:spacing w:after="0"/>
        <w:tabs>
          <w:tab w:leader="none" w:pos="5572"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3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ACKNOWLEDGMENT AND 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does hereby acknowledge receipt of the Company’s Insider Trading Policy. The undersigned has read and understands (or has had explained) such Policy and agrees to be governed by such Policy at all times in connection with the purchase and sale of securities and the confidentiality of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260350</wp:posOffset>
            </wp:positionV>
            <wp:extent cx="284607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9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25031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25031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1" w:name="page122"/>
    <w:bookmarkEnd w:id="121"/>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 Prendergast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Spieth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Spectral AI Annual Report on Form 10-K</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For Fiscal Year Ended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Subsidiaries of Spectral AI Inc.</w:t>
            </w:r>
          </w:p>
        </w:tc>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5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are the only subsidiaries of Spectral AI, Inc. :</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5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Subsidiary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210"/>
        </w:trPr>
        <w:tc>
          <w:tcPr>
            <w:tcW w:w="5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Spectral MD, Inc.</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Spectral MD Holdings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Spectral MD UK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Spectral Deepview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Ireland</w:t>
            </w:r>
          </w:p>
        </w:tc>
      </w:tr>
    </w:tbl>
    <w:p>
      <w:pPr>
        <w:sectPr>
          <w:pgSz w:w="11900" w:h="16838" w:orient="portrait"/>
          <w:cols w:equalWidth="0" w:num="1">
            <w:col w:w="11240"/>
          </w:cols>
          <w:pgMar w:left="320" w:top="11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S-1 (No. 333-275218), Forms S-3 (Nos. 333-282681, 333-291173, and 333-286742), Form S-4 (No. 333-271566), and Form S-8 (No. 333-289096) of our report dated March 24, 2026, with respect to the consolidated financial statements of Spectral AI, Inc., included in this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Forvis Mazars,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 Texas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24, 2026</w:t>
      </w:r>
    </w:p>
    <w:p>
      <w:pPr>
        <w:sectPr>
          <w:pgSz w:w="11900" w:h="16838" w:orient="portrait"/>
          <w:cols w:equalWidth="0" w:num="1">
            <w:col w:w="11240"/>
          </w:cols>
          <w:pgMar w:left="320" w:top="11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805815" cy="316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80581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KPMG LLP Suite 1400</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2323 Ross Avenue</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Dallas, TX 75201-2721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333-275218) on Form S-1, (Nos. 333-282681, 333-291173, and 333-286742) on Form S-3, (No. 333-271566) on Form S-4, and (No. 333-289096) on Form S-8 of our report dated March 31, 2025, with respect to the consolidated financial statements of Spectral AI,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123190</wp:posOffset>
            </wp:positionV>
            <wp:extent cx="1131570" cy="2400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11315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KPMG LLP, a Delaware limited liability partnership, and its subsidiaries are part of</w:t>
      </w:r>
    </w:p>
    <w:p>
      <w:pPr>
        <w:ind w:left="4500"/>
        <w:spacing w:after="0" w:line="226" w:lineRule="auto"/>
        <w:rPr>
          <w:sz w:val="20"/>
          <w:szCs w:val="20"/>
          <w:color w:val="auto"/>
        </w:rPr>
      </w:pPr>
      <w:r>
        <w:rPr>
          <w:rFonts w:ascii="Times New Roman" w:cs="Times New Roman" w:eastAsia="Times New Roman" w:hAnsi="Times New Roman"/>
          <w:sz w:val="14"/>
          <w:szCs w:val="14"/>
          <w:color w:val="auto"/>
        </w:rPr>
        <w:t>the KPMG global organization of independent member firms affiliated with KPMG</w:t>
      </w:r>
    </w:p>
    <w:p>
      <w:pPr>
        <w:ind w:left="4500"/>
        <w:spacing w:after="0"/>
        <w:rPr>
          <w:sz w:val="20"/>
          <w:szCs w:val="20"/>
          <w:color w:val="auto"/>
        </w:rPr>
      </w:pPr>
      <w:r>
        <w:rPr>
          <w:rFonts w:ascii="Times New Roman" w:cs="Times New Roman" w:eastAsia="Times New Roman" w:hAnsi="Times New Roman"/>
          <w:sz w:val="14"/>
          <w:szCs w:val="14"/>
          <w:color w:val="auto"/>
        </w:rPr>
        <w:t>International Limited, a private English company limited by guarantee.</w:t>
      </w:r>
    </w:p>
    <w:p>
      <w:pPr>
        <w:sectPr>
          <w:pgSz w:w="11900" w:h="16838" w:orient="portrait"/>
          <w:cols w:equalWidth="0" w:num="1">
            <w:col w:w="11240"/>
          </w:cols>
          <w:pgMar w:left="320" w:top="11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RULES 13A-14(A) AND 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S. Capone, certify that:</w:t>
      </w:r>
    </w:p>
    <w:p>
      <w:pPr>
        <w:spacing w:after="0" w:line="225"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Spectral AI,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Vincent S. Capone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Vincent S. Capone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RULES 13A-14(A) AND 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Spieth, certify that:</w:t>
      </w:r>
    </w:p>
    <w:p>
      <w:pPr>
        <w:spacing w:after="0" w:line="225"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Spectral AI,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Thomas Spieth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Thomas Spieth</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Spectral AI, Inc.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period ended December 31, 2025,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24, 2026</w:t>
            </w: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Vincent S. Capone</w:t>
            </w:r>
          </w:p>
        </w:tc>
      </w:tr>
      <w:tr>
        <w:trPr>
          <w:trHeight w:val="198"/>
        </w:trPr>
        <w:tc>
          <w:tcPr>
            <w:tcW w:w="6760" w:type="dxa"/>
            <w:vAlign w:val="bottom"/>
          </w:tcPr>
          <w:p>
            <w:pPr>
              <w:spacing w:after="0"/>
              <w:rPr>
                <w:sz w:val="17"/>
                <w:szCs w:val="17"/>
                <w:color w:val="auto"/>
              </w:rPr>
            </w:pPr>
          </w:p>
        </w:tc>
        <w:tc>
          <w:tcPr>
            <w:tcW w:w="4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 Vincent S. Capone</w:t>
            </w:r>
          </w:p>
        </w:tc>
      </w:tr>
      <w:tr>
        <w:trPr>
          <w:trHeight w:val="216"/>
        </w:trPr>
        <w:tc>
          <w:tcPr>
            <w:tcW w:w="67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24, 2026</w:t>
            </w: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Spieth</w:t>
            </w:r>
          </w:p>
        </w:tc>
      </w:tr>
      <w:tr>
        <w:trPr>
          <w:trHeight w:val="198"/>
        </w:trPr>
        <w:tc>
          <w:tcPr>
            <w:tcW w:w="6760" w:type="dxa"/>
            <w:vAlign w:val="bottom"/>
          </w:tcPr>
          <w:p>
            <w:pPr>
              <w:spacing w:after="0"/>
              <w:rPr>
                <w:sz w:val="17"/>
                <w:szCs w:val="17"/>
                <w:color w:val="auto"/>
              </w:rPr>
            </w:pPr>
          </w:p>
        </w:tc>
        <w:tc>
          <w:tcPr>
            <w:tcW w:w="4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 Thomas Spieth</w:t>
            </w:r>
          </w:p>
        </w:tc>
      </w:tr>
      <w:tr>
        <w:trPr>
          <w:trHeight w:val="216"/>
        </w:trPr>
        <w:tc>
          <w:tcPr>
            <w:tcW w:w="67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Controller</w:t>
            </w:r>
          </w:p>
        </w:tc>
      </w:tr>
      <w:tr>
        <w:trPr>
          <w:trHeight w:val="234"/>
        </w:trPr>
        <w:tc>
          <w:tcPr>
            <w:tcW w:w="6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lvl w:ilvl="1">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1)"/>
      <w:numFmt w:val="lowerRoman"/>
      <w:start w:val="2"/>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lowerRoman"/>
      <w:start w:val="2"/>
    </w:lvl>
  </w:abstractNum>
  <w:abstractNum w:abstractNumId="22">
    <w:nsid w:val="6A2342EC"/>
    <w:multiLevelType w:val="hybridMultilevel"/>
    <w:lvl w:ilvl="0">
      <w:lvlJc w:val="left"/>
      <w:lvlText w:val="(%1)"/>
      <w:numFmt w:val="lowerRoman"/>
      <w:start w:val="7"/>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lowerRoman"/>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7"/>
    </w:lvl>
  </w:abstractNum>
  <w:abstractNum w:abstractNumId="40">
    <w:nsid w:val="79A1DEAA"/>
    <w:multiLevelType w:val="hybridMultilevel"/>
    <w:lvl w:ilvl="0">
      <w:lvlJc w:val="left"/>
      <w:lvlText w:val="%1."/>
      <w:numFmt w:val="decimal"/>
      <w:start w:val="10"/>
    </w:lvl>
  </w:abstractNum>
  <w:abstractNum w:abstractNumId="41">
    <w:nsid w:val="75C6C33A"/>
    <w:multiLevelType w:val="hybridMultilevel"/>
    <w:lvl w:ilvl="0">
      <w:lvlJc w:val="left"/>
      <w:lvlText w:val="(%1)"/>
      <w:numFmt w:val="lowerLetter"/>
      <w:start w:val="2"/>
    </w:lvl>
  </w:abstractNum>
  <w:abstractNum w:abstractNumId="42">
    <w:nsid w:val="12E685FB"/>
    <w:multiLevelType w:val="hybridMultilevel"/>
    <w:lvl w:ilvl="0">
      <w:lvlJc w:val="left"/>
      <w:lvlText w:val="%1"/>
      <w:numFmt w:val="decimal"/>
      <w:start w:val="19"/>
    </w:lvl>
  </w:abstractNum>
  <w:abstractNum w:abstractNumId="43">
    <w:nsid w:val="70C6A529"/>
    <w:multiLevelType w:val="hybridMultilevel"/>
    <w:lvl w:ilvl="0">
      <w:lvlJc w:val="left"/>
      <w:lvlText w:val="%1"/>
      <w:numFmt w:val="decimal"/>
      <w:start w:val="21"/>
    </w:lvl>
  </w:abstractNum>
  <w:abstractNum w:abstractNumId="44">
    <w:nsid w:val="520EEDD1"/>
    <w:multiLevelType w:val="hybridMultilevel"/>
    <w:lvl w:ilvl="0">
      <w:lvlJc w:val="left"/>
      <w:lvlText w:val="%1"/>
      <w:numFmt w:val="decimal"/>
      <w:start w:val="104"/>
    </w:lvl>
    <w:lvl w:ilvl="1">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8">
    <w:nsid w:val="649BB77C"/>
    <w:multiLevelType w:val="hybridMultilevel"/>
    <w:lvl w:ilvl="0">
      <w:lvlJc w:val="left"/>
      <w:lvlText w:val="(%1)"/>
      <w:numFmt w:val="lowerRoman"/>
      <w:start w:val="3"/>
    </w:lvl>
  </w:abstractNum>
  <w:abstractNum w:abstractNumId="49">
    <w:nsid w:val="275AC794"/>
    <w:multiLevelType w:val="hybridMultilevel"/>
    <w:lvl w:ilvl="0">
      <w:lvlJc w:val="left"/>
      <w:lvlText w:val="(%1)"/>
      <w:numFmt w:val="lowerLetter"/>
      <w:start w:val="2"/>
    </w:lvl>
    <w:lvl w:ilvl="1">
      <w:lvlJc w:val="left"/>
      <w:lvlText w:val="-"/>
      <w:numFmt w:val="bullet"/>
      <w:start w:val="1"/>
    </w:lvl>
  </w:abstractNum>
  <w:abstractNum w:abstractNumId="50">
    <w:nsid w:val="39386575"/>
    <w:multiLevelType w:val="hybridMultilevel"/>
    <w:lvl w:ilvl="0">
      <w:lvlJc w:val="left"/>
      <w:lvlText w:val="(%1)"/>
      <w:numFmt w:val="lowerRoman"/>
      <w:start w:val="1"/>
    </w:lvl>
  </w:abstractNum>
  <w:abstractNum w:abstractNumId="51">
    <w:nsid w:val="1CF10FD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52">
    <w:nsid w:val="180115B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3">
    <w:nsid w:val="235BA861"/>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54">
    <w:nsid w:val="47398C89"/>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5">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6">
    <w:nsid w:val="15B5AF5C"/>
    <w:multiLevelType w:val="hybridMultilevel"/>
    <w:lvl w:ilvl="0">
      <w:lvlJc w:val="left"/>
      <w:lvlText w:val="(%1)"/>
      <w:numFmt w:val="lowerRoman"/>
      <w:start w:val="3"/>
    </w:lvl>
  </w:abstractNum>
  <w:abstractNum w:abstractNumId="57">
    <w:nsid w:val="741226BB"/>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59">
    <w:nsid w:val="10233C9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42" Type="http://schemas.openxmlformats.org/officeDocument/2006/relationships/image" Target="media/image118.png"/><Relationship Id="rId144" Type="http://schemas.openxmlformats.org/officeDocument/2006/relationships/image" Target="media/image119.png"/><Relationship Id="rId147" Type="http://schemas.openxmlformats.org/officeDocument/2006/relationships/image" Target="media/image120.png"/><Relationship Id="rId150" Type="http://schemas.openxmlformats.org/officeDocument/2006/relationships/image" Target="media/image121.png"/><Relationship Id="rId153"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jpeg"/><Relationship Id="rId170" Type="http://schemas.openxmlformats.org/officeDocument/2006/relationships/image" Target="media/image138.jpeg"/><Relationship Id="rId171" Type="http://schemas.openxmlformats.org/officeDocument/2006/relationships/image" Target="media/image139.png"/><Relationship Id="rId172" Type="http://schemas.openxmlformats.org/officeDocument/2006/relationships/image" Target="media/image140.png"/><Relationship Id="rId125" Type="http://schemas.openxmlformats.org/officeDocument/2006/relationships/hyperlink" Target="http://www.sec.gov/Archives/edgar/data/1833498/000121390023035113/fs42023_rosecliffacq1.htm#T99555" TargetMode="External"/><Relationship Id="rId126" Type="http://schemas.openxmlformats.org/officeDocument/2006/relationships/hyperlink" Target="http://www.sec.gov/Archives/edgar/data/1833498/000121390023077038/ea185228ex3-1_spectral.htm" TargetMode="External"/><Relationship Id="rId127" Type="http://schemas.openxmlformats.org/officeDocument/2006/relationships/hyperlink" Target="http://www.sec.gov/Archives/edgar/data/1833498/000121390023077038/ea185228ex3-2_spectral.htm" TargetMode="External"/><Relationship Id="rId128" Type="http://schemas.openxmlformats.org/officeDocument/2006/relationships/hyperlink" Target="http://www.sec.gov/Archives/edgar/data/1833498/000121390021010097/ea135884ex4-1_rosecliff.htm" TargetMode="External"/><Relationship Id="rId129" Type="http://schemas.openxmlformats.org/officeDocument/2006/relationships/hyperlink" Target="http://www.sec.gov/Archives/edgar/data/1833498/000121390022016396/f10k2021ex4-2_rosecliff1.htm" TargetMode="External"/><Relationship Id="rId130" Type="http://schemas.openxmlformats.org/officeDocument/2006/relationships/hyperlink" Target="http://www.sec.gov/Archives/edgar/data/1833498/000121390023077038/ea185228ex10-2_spectral.htm" TargetMode="External"/><Relationship Id="rId131" Type="http://schemas.openxmlformats.org/officeDocument/2006/relationships/hyperlink" Target="http://www.sec.gov/Archives/edgar/data/1833498/000121390023098718/ea190752ex10-2_spectralai.htm" TargetMode="External"/><Relationship Id="rId132" Type="http://schemas.openxmlformats.org/officeDocument/2006/relationships/hyperlink" Target="http://www.sec.gov/Archives/edgar/data/1833498/000121390023077038/ea185228ex10-1_spectral.htm" TargetMode="External"/><Relationship Id="rId133" Type="http://schemas.openxmlformats.org/officeDocument/2006/relationships/hyperlink" Target="http://www.sec.gov/Archives/edgar/data/1833498/000121390021010097/ea135884ex10-5_rosecliff.htm" TargetMode="External"/><Relationship Id="rId134" Type="http://schemas.openxmlformats.org/officeDocument/2006/relationships/hyperlink" Target="http://www.sec.gov/Archives/edgar/data/1833498/000121390023060311/fs42023a2ex10-14_rosecliff1.htm" TargetMode="External"/><Relationship Id="rId135" Type="http://schemas.openxmlformats.org/officeDocument/2006/relationships/hyperlink" Target="http://www.sec.gov/Archives/edgar/data/1833498/000121390023060311/fs42023a2ex10-15_rosecliff1.htm" TargetMode="External"/><Relationship Id="rId136" Type="http://schemas.openxmlformats.org/officeDocument/2006/relationships/hyperlink" Target="http://www.sec.gov/Archives/edgar/data/1833498/000121390023060311/fs42023a2ex10-16_rosecliff1.htm" TargetMode="External"/><Relationship Id="rId137" Type="http://schemas.openxmlformats.org/officeDocument/2006/relationships/hyperlink" Target="http://www.sec.gov/Archives/edgar/data/1833498/000121390023060311/fs42023a2ex10-17_rosecliff1.htm" TargetMode="External"/><Relationship Id="rId138" Type="http://schemas.openxmlformats.org/officeDocument/2006/relationships/hyperlink" Target="http://www.sec.gov/Archives/edgar/data/1833498/000121390023060311/fs42023a2ex10-18_rosecliff1.htm" TargetMode="External"/><Relationship Id="rId139" Type="http://schemas.openxmlformats.org/officeDocument/2006/relationships/hyperlink" Target="http://www.sec.gov/Archives/edgar/data/1833498/000121390023065558/fs42023a4_rosecliff.htm#T99560" TargetMode="External"/><Relationship Id="rId140" Type="http://schemas.openxmlformats.org/officeDocument/2006/relationships/hyperlink" Target="https://www.sec.gov/Archives/edgar/data/1833498/000121390023098718/ea190752ex10-1_spectralai.htm" TargetMode="External"/><Relationship Id="rId141" Type="http://schemas.openxmlformats.org/officeDocument/2006/relationships/hyperlink" Target="https://www.sec.gov/Archives/edgar/data/1833498/000121390024011827/ea193120ex99-1_spectralai.htm" TargetMode="External"/><Relationship Id="rId143" Type="http://schemas.openxmlformats.org/officeDocument/2006/relationships/hyperlink" Target="https://www.sec.gov/Archives/edgar/data/1833498/000121390024011827/ea193120ex99-3_spectralai.htm" TargetMode="External"/><Relationship Id="rId145" Type="http://schemas.openxmlformats.org/officeDocument/2006/relationships/hyperlink" Target="https://www.sec.gov/Archives/edgar/data/1833498/000121390024011827/ea193120ex99-4_spectralai.htm" TargetMode="External"/><Relationship Id="rId146" Type="http://schemas.openxmlformats.org/officeDocument/2006/relationships/hyperlink" Target="https://www.sec.gov/Archives/edgar/data/1833498/000121390024011827/ea193120ex99-2_spectralai.htm" TargetMode="External"/><Relationship Id="rId148" Type="http://schemas.openxmlformats.org/officeDocument/2006/relationships/hyperlink" Target="https://www.sec.gov/Archives/edgar/data/1833498/000121390024011827/ea193120ex99-5_spectralai.htm" TargetMode="External"/><Relationship Id="rId149" Type="http://schemas.openxmlformats.org/officeDocument/2006/relationships/hyperlink" Target="https://www.sec.gov/Archives/edgar/data/1833498/000121390024011827/ea193120ex99-6_spectralai.htm" TargetMode="External"/><Relationship Id="rId151" Type="http://schemas.openxmlformats.org/officeDocument/2006/relationships/hyperlink" Target="https://www.sec.gov/Archives/edgar/data/1833498/000121390024027863/ea020241901ex10-12_spectral.htm" TargetMode="External"/><Relationship Id="rId152" Type="http://schemas.openxmlformats.org/officeDocument/2006/relationships/hyperlink" Target="https://www.sec.gov/Archives/edgar/data/1833498/000121390024027863/ea020241901ex14_spectral.htm" TargetMode="External"/><Relationship Id="rId154" Type="http://schemas.openxmlformats.org/officeDocument/2006/relationships/hyperlink" Target="https://www.sec.gov/Archives/edgar/data/1833498/000121390024027863/ea020241901ex97_spectr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2026-03-25T05:22:07Z</dcterms:created>
  <dcterms:modified xsi:type="dcterms:W3CDTF">2026-03-25T05:22:07Z</dcterms:modified>
</cp:coreProperties>
</file>