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480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48081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2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Capone Vincent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1060"/>
        <w:spacing w:after="0" w:line="311" w:lineRule="auto"/>
        <w:rPr>
          <w:sz w:val="20"/>
          <w:szCs w:val="20"/>
          <w:color w:val="auto"/>
        </w:rPr>
      </w:pPr>
      <w:r>
        <w:rPr>
          <w:rFonts w:ascii="Times New Roman" w:cs="Times New Roman" w:eastAsia="Times New Roman" w:hAnsi="Times New Roman"/>
          <w:sz w:val="17"/>
          <w:szCs w:val="17"/>
          <w:color w:val="0000FF"/>
        </w:rPr>
        <w:t>2515 MCKINNEY AVENUE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Spectral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MDAI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03/27/2026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7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42" w:lineRule="exact"/>
        <w:rPr>
          <w:sz w:val="24"/>
          <w:szCs w:val="24"/>
          <w:color w:val="auto"/>
        </w:rPr>
      </w:pPr>
    </w:p>
    <w:p>
      <w:pPr>
        <w:sectPr>
          <w:pgSz w:w="11900" w:h="16838" w:orient="portrait"/>
          <w:cols w:equalWidth="0" w:num="3">
            <w:col w:w="3180" w:space="720"/>
            <w:col w:w="3106" w:space="720"/>
            <w:col w:w="3354"/>
          </w:cols>
          <w:pgMar w:left="460" w:top="216" w:right="359" w:bottom="124"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9"/>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80" w:type="dxa"/>
            <w:vAlign w:val="bottom"/>
            <w:gridSpan w:val="10"/>
          </w:tcPr>
          <w:p>
            <w:pPr>
              <w:ind w:left="3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gridSpan w:val="4"/>
          </w:tcPr>
          <w:p>
            <w:pPr>
              <w:jc w:val="right"/>
              <w:ind w:right="64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75201</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03/27/2026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16,750</w:t>
            </w:r>
          </w:p>
        </w:tc>
        <w:tc>
          <w:tcPr>
            <w:tcW w:w="560" w:type="dxa"/>
            <w:vAlign w:val="bottom"/>
            <w:tcBorders>
              <w:bottom w:val="single" w:sz="8" w:color="2C2C2C"/>
            </w:tcBorders>
          </w:tcPr>
          <w:p>
            <w:pPr>
              <w:ind w:left="280"/>
              <w:spacing w:after="0" w:line="312" w:lineRule="exact"/>
              <w:rPr>
                <w:sz w:val="20"/>
                <w:szCs w:val="20"/>
                <w:color w:val="auto"/>
              </w:rPr>
            </w:pPr>
            <w:r>
              <w:rPr>
                <w:rFonts w:ascii="Times New Roman" w:cs="Times New Roman" w:eastAsia="Times New Roman" w:hAnsi="Times New Roman"/>
                <w:sz w:val="33"/>
                <w:szCs w:val="33"/>
                <w:color w:val="0000FF"/>
                <w:w w:val="90"/>
                <w:vertAlign w:val="subscript"/>
              </w:rPr>
              <w:t>A</w:t>
            </w:r>
            <w:r>
              <w:rPr>
                <w:rFonts w:ascii="Times New Roman" w:cs="Times New Roman" w:eastAsia="Times New Roman" w:hAnsi="Times New Roman"/>
                <w:sz w:val="11"/>
                <w:szCs w:val="11"/>
                <w:color w:val="008000"/>
                <w:w w:val="90"/>
              </w:rPr>
              <w:t>(1)</w:t>
            </w:r>
          </w:p>
        </w:tc>
        <w:tc>
          <w:tcPr>
            <w:tcW w:w="62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1.52</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186,450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6"/>
          </w:tcPr>
          <w:p>
            <w:pPr>
              <w:jc w:val="center"/>
              <w:ind w:left="79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3"/>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ISO</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4.47</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05/06/2032</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60,955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jc w:val="center"/>
              <w:ind w:left="139"/>
              <w:spacing w:after="0"/>
              <w:rPr>
                <w:sz w:val="20"/>
                <w:szCs w:val="20"/>
                <w:color w:val="auto"/>
              </w:rPr>
            </w:pPr>
            <w:r>
              <w:rPr>
                <w:rFonts w:ascii="Times New Roman" w:cs="Times New Roman" w:eastAsia="Times New Roman" w:hAnsi="Times New Roman"/>
                <w:sz w:val="13"/>
                <w:szCs w:val="13"/>
                <w:color w:val="0000FF"/>
              </w:rPr>
              <w:t>60,955</w:t>
            </w:r>
          </w:p>
        </w:tc>
        <w:tc>
          <w:tcPr>
            <w:tcW w:w="260" w:type="dxa"/>
            <w:vAlign w:val="bottom"/>
          </w:tcPr>
          <w:p>
            <w:pPr>
              <w:spacing w:after="0"/>
              <w:rPr>
                <w:sz w:val="21"/>
                <w:szCs w:val="21"/>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NQSO</w:t>
            </w:r>
          </w:p>
        </w:tc>
        <w:tc>
          <w:tcPr>
            <w:tcW w:w="62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4.36</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05/06/2032</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6,939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w w:val="95"/>
              </w:rPr>
              <w:t>6,939</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ISO</w:t>
            </w:r>
          </w:p>
        </w:tc>
        <w:tc>
          <w:tcPr>
            <w:tcW w:w="62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4.48</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(3)</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04/13/2033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6,014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w w:val="95"/>
              </w:rPr>
              <w:t>6,014</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NQSO</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4.48</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color w:val="008000"/>
                <w:w w:val="93"/>
              </w:rPr>
              <w:t>(3)</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04/13/2033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12,027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jc w:val="center"/>
              <w:ind w:left="139"/>
              <w:spacing w:after="0"/>
              <w:rPr>
                <w:sz w:val="20"/>
                <w:szCs w:val="20"/>
                <w:color w:val="auto"/>
              </w:rPr>
            </w:pPr>
            <w:r>
              <w:rPr>
                <w:rFonts w:ascii="Times New Roman" w:cs="Times New Roman" w:eastAsia="Times New Roman" w:hAnsi="Times New Roman"/>
                <w:sz w:val="13"/>
                <w:szCs w:val="13"/>
                <w:color w:val="0000FF"/>
              </w:rPr>
              <w:t>12,027</w:t>
            </w:r>
          </w:p>
        </w:tc>
        <w:tc>
          <w:tcPr>
            <w:tcW w:w="260" w:type="dxa"/>
            <w:vAlign w:val="bottom"/>
          </w:tcPr>
          <w:p>
            <w:pPr>
              <w:spacing w:after="0"/>
              <w:rPr>
                <w:sz w:val="21"/>
                <w:szCs w:val="21"/>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ISO</w:t>
            </w:r>
          </w:p>
        </w:tc>
        <w:tc>
          <w:tcPr>
            <w:tcW w:w="62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5.54</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(4)</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06/01/2033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6,466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vMerge w:val="restart"/>
          </w:tcPr>
          <w:p>
            <w:pPr>
              <w:jc w:val="center"/>
              <w:ind w:left="139"/>
              <w:spacing w:after="0"/>
              <w:rPr>
                <w:sz w:val="20"/>
                <w:szCs w:val="20"/>
                <w:color w:val="auto"/>
              </w:rPr>
            </w:pPr>
            <w:r>
              <w:rPr>
                <w:rFonts w:ascii="Times New Roman" w:cs="Times New Roman" w:eastAsia="Times New Roman" w:hAnsi="Times New Roman"/>
                <w:sz w:val="13"/>
                <w:szCs w:val="13"/>
                <w:color w:val="0000FF"/>
                <w:w w:val="95"/>
              </w:rPr>
              <w:t>6,581</w:t>
            </w:r>
          </w:p>
        </w:tc>
        <w:tc>
          <w:tcPr>
            <w:tcW w:w="26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NQSO</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5.54</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color w:val="008000"/>
                <w:w w:val="93"/>
              </w:rPr>
              <w:t>(4)</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06/01/2033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12,932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jc w:val="center"/>
              <w:ind w:left="139"/>
              <w:spacing w:after="0"/>
              <w:rPr>
                <w:sz w:val="20"/>
                <w:szCs w:val="20"/>
                <w:color w:val="auto"/>
              </w:rPr>
            </w:pPr>
            <w:r>
              <w:rPr>
                <w:rFonts w:ascii="Times New Roman" w:cs="Times New Roman" w:eastAsia="Times New Roman" w:hAnsi="Times New Roman"/>
                <w:sz w:val="13"/>
                <w:szCs w:val="13"/>
                <w:color w:val="0000FF"/>
              </w:rPr>
              <w:t>13,162</w:t>
            </w:r>
          </w:p>
        </w:tc>
        <w:tc>
          <w:tcPr>
            <w:tcW w:w="260" w:type="dxa"/>
            <w:vAlign w:val="bottom"/>
          </w:tcPr>
          <w:p>
            <w:pPr>
              <w:spacing w:after="0"/>
              <w:rPr>
                <w:sz w:val="21"/>
                <w:szCs w:val="21"/>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NQSO</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color w:val="008000"/>
                <w:w w:val="93"/>
              </w:rPr>
              <w:t>(5)</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04/01/2035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75,000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jc w:val="center"/>
              <w:ind w:left="139"/>
              <w:spacing w:after="0"/>
              <w:rPr>
                <w:sz w:val="20"/>
                <w:szCs w:val="20"/>
                <w:color w:val="auto"/>
              </w:rPr>
            </w:pPr>
            <w:r>
              <w:rPr>
                <w:rFonts w:ascii="Times New Roman" w:cs="Times New Roman" w:eastAsia="Times New Roman" w:hAnsi="Times New Roman"/>
                <w:sz w:val="13"/>
                <w:szCs w:val="13"/>
                <w:color w:val="0000FF"/>
              </w:rPr>
              <w:t>75,000</w:t>
            </w:r>
          </w:p>
        </w:tc>
        <w:tc>
          <w:tcPr>
            <w:tcW w:w="260" w:type="dxa"/>
            <w:vAlign w:val="bottom"/>
          </w:tcPr>
          <w:p>
            <w:pPr>
              <w:spacing w:after="0"/>
              <w:rPr>
                <w:sz w:val="21"/>
                <w:szCs w:val="21"/>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-3602990</wp:posOffset>
            </wp:positionV>
            <wp:extent cx="29210" cy="3608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6080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jc w:val="both"/>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an average price of $1.52.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are fully vested and exercisable.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33% of the stock options vested on 4/13/2024, 33% vested on 4/13/2025, and the remainder vest on 4/13/2026.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33% of the stock options vested on 6/29/2024, 33% vested on 6/29/2025, and the remainder vest on 6/25/2026.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33% vested on 4/1/2026, and the remainder vest upon the achievement of certain milestones.</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Vincent S. Capone</w:t>
            </w:r>
          </w:p>
        </w:tc>
        <w:tc>
          <w:tcPr>
            <w:tcW w:w="7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04/06/2026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2121" TargetMode="External"/><Relationship Id="rId14" Type="http://schemas.openxmlformats.org/officeDocument/2006/relationships/hyperlink" Target="http://www.sec.gov/cgi-bin/browse-edgar?action=getcompany&amp;CIK=00018334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2026-04-06T15:03:56Z</dcterms:created>
  <dcterms:modified xsi:type="dcterms:W3CDTF">2026-04-06T15:03:56Z</dcterms:modified>
</cp:coreProperties>
</file>