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fs12023_spectralaiinc.htm"/>
      <w:bookmarkStart w:id="1" w:name="ksfs12023_spectralaiinc"/>
      <w:bookmarkEnd w:id="0"/>
      <w:bookmarkEnd w:id="1"/>
      <w:r>
        <w:rPr>
          <w:rFonts w:ascii="Times New Roman PS Std;serif" w:hAnsi="Times New Roman PS Std;serif"/>
          <w:b/>
          <w:i w:val="false"/>
          <w:caps w:val="false"/>
          <w:smallCaps w:val="false"/>
          <w:sz w:val="20"/>
        </w:rPr>
        <w:t>As filed with the Securities and Exchange Commission on January 5, 2024</w:t>
      </w:r>
    </w:p>
    <w:p>
      <w:pPr>
        <w:pStyle w:val="TextBody"/>
        <w:keepNext w:val="true"/>
        <w:pageBreakBefore w:val="false"/>
        <w:widowControl/>
        <w:pBdr/>
        <w:bidi w:val="0"/>
        <w:spacing w:before="0" w:after="283"/>
        <w:ind w:left="0" w:right="48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            </w:t>
      </w:r>
    </w:p>
    <w:p>
      <w:pPr>
        <w:pStyle w:val="TextBody"/>
        <w:keepNext w:val="tru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S-1</w:t>
        <w:br/>
        <w:t>REGISTRATION STATEMENT</w:t>
        <w:br/>
      </w:r>
      <w:r>
        <w:rPr>
          <w:rFonts w:ascii="Times New Roman PS Std;serif" w:hAnsi="Times New Roman PS Std;serif"/>
          <w:b/>
          <w:i/>
          <w:caps w:val="false"/>
          <w:smallCaps w:val="false"/>
          <w:sz w:val="20"/>
        </w:rPr>
        <w:t>UNDER</w:t>
        <w:br/>
        <w:t>THE SECURITIES ACT OF 1933</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6"/>
        </w:rPr>
        <w:t>Spectral AI, Inc.</w:t>
      </w:r>
      <w:r>
        <w:rPr>
          <w:rFonts w:ascii="Times New Roman PS Std;serif" w:hAnsi="Times New Roman PS Std;serif"/>
          <w:b/>
          <w:i w:val="false"/>
          <w:caps w:val="false"/>
          <w:smallCaps w:val="false"/>
          <w:sz w:val="32"/>
        </w:rPr>
        <w:br/>
      </w:r>
      <w:r>
        <w:rPr>
          <w:rFonts w:ascii="Times New Roman PS Std;serif" w:hAnsi="Times New Roman PS Std;serif"/>
          <w:b/>
          <w:i w:val="false"/>
          <w:caps w:val="false"/>
          <w:smallCaps w:val="false"/>
          <w:sz w:val="20"/>
        </w:rPr>
        <w:t>(Exact name of registrant as specified in its charter)</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tbl>
      <w:tblPr>
        <w:tblW w:w="8560" w:type="dxa"/>
        <w:jc w:val="left"/>
        <w:tblInd w:w="0" w:type="dxa"/>
        <w:tblLayout w:type="fixed"/>
        <w:tblCellMar>
          <w:top w:w="0" w:type="dxa"/>
          <w:left w:w="0" w:type="dxa"/>
          <w:bottom w:w="0" w:type="dxa"/>
          <w:right w:w="0" w:type="dxa"/>
        </w:tblCellMar>
      </w:tblPr>
      <w:tblGrid>
        <w:gridCol w:w="3016"/>
        <w:gridCol w:w="146"/>
        <w:gridCol w:w="2911"/>
        <w:gridCol w:w="146"/>
        <w:gridCol w:w="2341"/>
      </w:tblGrid>
      <w:tr>
        <w:trPr/>
        <w:tc>
          <w:tcPr>
            <w:tcW w:w="30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Delaware</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8731</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85-3987148</w:t>
            </w:r>
          </w:p>
        </w:tc>
      </w:tr>
      <w:tr>
        <w:trPr/>
        <w:tc>
          <w:tcPr>
            <w:tcW w:w="301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(State or other jurisdiction of </w:t>
              <w:br/>
              <w:t>incorporation or organization)</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(Primary Standard Industrial </w:t>
              <w:br/>
              <w:t>Classification Code Number)</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(I.R.S. Employer </w:t>
              <w:br/>
              <w:t>Identification Number)</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2515 McKinney Avenue, Suite 1000</w:t>
        <w:br/>
        <w:t>Dallas, Texas 75201</w:t>
        <w:br/>
        <w:t>(972) 499-4934</w:t>
        <w:br/>
      </w: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false"/>
        <w:pageBreakBefore w:val="false"/>
        <w:widowControl/>
        <w:pBdr/>
        <w:bidi w:val="0"/>
        <w:spacing w:before="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Wensheng Fan</w:t>
        <w:br/>
        <w:t>Chief Executive Officer</w:t>
        <w:br/>
        <w:t>2515 McKinney Avenue, Suite 1000</w:t>
        <w:br/>
        <w:t>Dallas, Texas 75201</w:t>
        <w:br/>
        <w:t>(972) 499-4934</w:t>
        <w:br/>
      </w: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false"/>
        <w:pageBreakBefore w:val="false"/>
        <w:widowControl/>
        <w:pBdr/>
        <w:bidi w:val="0"/>
        <w:spacing w:before="8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Herbert F. Kozlov, Esq.</w:t>
        <w:br/>
        <w:t>Anthony J. Marsico, Esq.</w:t>
        <w:br/>
        <w:t>Lynwood E. Reinhardt, Esq.</w:t>
        <w:br/>
        <w:t>Reed Smith LLP</w:t>
        <w:br/>
        <w:t>599 Lexington Avenue</w:t>
        <w:br/>
        <w:t>New York, New York 10022-7650</w:t>
        <w:br/>
        <w:t>(212) 521-5400</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false"/>
        <w:pageBreakBefore w:val="false"/>
        <w:widowControl/>
        <w:pBdr/>
        <w:bidi w:val="0"/>
        <w:spacing w:before="60" w:after="283"/>
        <w:ind w:left="0" w:right="0" w:firstLine="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Approximate date of commencement of proposed sale to the public: As soon as practicable after the effective date of this Registration Statement.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Times New Roman PS Std;serif" w:hAnsi="Times New Roman PS Std;serif"/>
          <w:b w:val="false"/>
          <w:i w:val="false"/>
          <w:caps w:val="false"/>
          <w:smallCaps w:val="false"/>
          <w:sz w:val="20"/>
        </w:rPr>
        <w:t>☐</w:t>
      </w:r>
    </w:p>
    <w:tbl>
      <w:tblPr>
        <w:tblW w:w="5977" w:type="dxa"/>
        <w:jc w:val="left"/>
        <w:tblInd w:w="0" w:type="dxa"/>
        <w:tblLayout w:type="fixed"/>
        <w:tblCellMar>
          <w:top w:w="0" w:type="dxa"/>
          <w:left w:w="0" w:type="dxa"/>
          <w:bottom w:w="0" w:type="dxa"/>
          <w:right w:w="0" w:type="dxa"/>
        </w:tblCellMar>
      </w:tblPr>
      <w:tblGrid>
        <w:gridCol w:w="2206"/>
        <w:gridCol w:w="146"/>
        <w:gridCol w:w="316"/>
        <w:gridCol w:w="146"/>
        <w:gridCol w:w="2656"/>
        <w:gridCol w:w="146"/>
        <w:gridCol w:w="361"/>
      </w:tblGrid>
      <w:tr>
        <w:trPr/>
        <w:tc>
          <w:tcPr>
            <w:tcW w:w="2206" w:type="dxa"/>
            <w:tcBorders/>
          </w:tcPr>
          <w:p>
            <w:pPr>
              <w:pStyle w:val="TableContents"/>
              <w:keepNext w:val="false"/>
              <w:widowControl/>
              <w:pBdr/>
              <w:bidi w:val="0"/>
              <w:spacing w:before="0" w:after="283"/>
              <w:ind w:left="48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Large accelerated 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ind w:left="0" w:right="0" w:hanging="0"/>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65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Accelerated filer:</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ind w:left="0" w:right="0" w:hanging="0"/>
              <w:jc w:val="both"/>
              <w:rPr>
                <w:caps w:val="false"/>
                <w:smallCaps w:val="false"/>
              </w:rPr>
            </w:pPr>
            <w:r>
              <w:rPr>
                <w:caps w:val="false"/>
                <w:smallCaps w:val="false"/>
              </w:rPr>
              <w:t>☐</w:t>
            </w:r>
          </w:p>
        </w:tc>
      </w:tr>
      <w:tr>
        <w:trPr/>
        <w:tc>
          <w:tcPr>
            <w:tcW w:w="2206" w:type="dxa"/>
            <w:tcBorders/>
          </w:tcPr>
          <w:p>
            <w:pPr>
              <w:pStyle w:val="TableContents"/>
              <w:keepNext w:val="false"/>
              <w:widowControl/>
              <w:pBdr/>
              <w:bidi w:val="0"/>
              <w:spacing w:before="0" w:after="283"/>
              <w:ind w:left="48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Non-accelerated 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ind w:left="0" w:right="0" w:hanging="0"/>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65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Smaller reporting company:</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ind w:left="0" w:right="0" w:hanging="0"/>
              <w:jc w:val="both"/>
              <w:rPr>
                <w:caps w:val="false"/>
                <w:smallCaps w:val="false"/>
              </w:rPr>
            </w:pPr>
            <w:r>
              <w:rPr>
                <w:caps w:val="false"/>
                <w:smallCaps w:val="false"/>
              </w:rPr>
              <w:t>☒</w:t>
            </w:r>
          </w:p>
        </w:tc>
      </w:tr>
      <w:tr>
        <w:trPr/>
        <w:tc>
          <w:tcPr>
            <w:tcW w:w="22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5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Emerging growth company:</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ind w:left="0" w:right="0" w:hanging="0"/>
              <w:jc w:val="both"/>
              <w:rPr>
                <w:caps w:val="false"/>
                <w:smallCaps w:val="false"/>
              </w:rPr>
            </w:pPr>
            <w:r>
              <w:rPr>
                <w:caps w:val="false"/>
                <w:smallCaps w:val="false"/>
              </w:rPr>
              <w:t>☒</w:t>
            </w:r>
          </w:p>
        </w:tc>
      </w:tr>
    </w:tbl>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Times New Roman PS Std;serif" w:hAnsi="Times New Roman PS Std;serif"/>
          <w:b w:val="false"/>
          <w:i w:val="false"/>
          <w:caps w:val="false"/>
          <w:smallCaps w:val="false"/>
          <w:sz w:val="20"/>
        </w:rPr>
        <w:t> ☐</w:t>
      </w:r>
    </w:p>
    <w:p>
      <w:pPr>
        <w:pStyle w:val="TextBody"/>
        <w:keepNext w:val="false"/>
        <w:pageBreakBefore w:val="false"/>
        <w:widowControl/>
        <w:pBdr/>
        <w:bidi w:val="0"/>
        <w:spacing w:before="60" w:after="283"/>
        <w:ind w:left="0" w:right="0" w:firstLine="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w:t>
        <w:br/>
        <w:t>Preliminary Prospectus dated January 5, 2024.</w:t>
      </w:r>
    </w:p>
    <w:p>
      <w:pPr>
        <w:pStyle w:val="TextBody"/>
        <w:keepNext w:val="true"/>
        <w:pageBreakBefore w:val="false"/>
        <w:widowControl/>
        <w:pBdr/>
        <w:bidi w:val="0"/>
        <w:spacing w:before="200" w:after="283"/>
        <w:jc w:val="center"/>
        <w:rPr>
          <w:caps w:val="false"/>
          <w:smallCaps w:val="false"/>
        </w:rPr>
      </w:pPr>
      <w:r>
        <w:rPr>
          <w:caps w:val="false"/>
          <w:smallCaps w:val="false"/>
        </w:rPr>
        <w:drawing>
          <wp:inline distT="0" distB="0" distL="0" distR="0">
            <wp:extent cx="2705100" cy="6337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05100" cy="633730"/>
                    </a:xfrm>
                    <a:prstGeom prst="rect">
                      <a:avLst/>
                    </a:prstGeom>
                  </pic:spPr>
                </pic:pic>
              </a:graphicData>
            </a:graphic>
          </wp:inline>
        </w:drawing>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36"/>
        </w:rPr>
      </w:pPr>
      <w:r>
        <w:rPr>
          <w:rFonts w:ascii="Times New Roman PS Std;serif" w:hAnsi="Times New Roman PS Std;serif"/>
          <w:b/>
          <w:i w:val="false"/>
          <w:caps w:val="false"/>
          <w:smallCaps w:val="false"/>
          <w:sz w:val="36"/>
        </w:rPr>
        <w:t>Spectral AI, Inc.</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3,249,360 Shares of Common Stock</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offer and sale of up to 3,249,360 shares of our common stock, par value $0.0001 per share, or Common Stock, by B. Riley Principal Capital II, LLC, whom we refer to in this prospectus as “B. Riley Principal Capital II” or the “Selling Stockholder.”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Common Stock to which this prospectus relates have been or may be issued by us to B. Riley Principal Capital II pursuant to a common stock purchase agreement, dated as of December 26, 2023, we entered into with B. Riley Principal Capital II, which we refer to in this prospectus as the Purchase Agreement. Such shares of Common Stock include (i) up to 3,209,360 shares of Common Stock that we may, in our sole discretion, elect sell to B. Riley Principal Capital II, from time to time after the date of this prospectus, pursuant to the Purchase Agreement and (ii) 40,000 shares of Common Stock we issued to B. Riley Principal Capital II, upon our execution of the Purchase Agreement on December 26, 2023, as partial consideration for its commitment to purchase shares of our Common Stock in one or more purchases that we may, in our sole discretion, direct them to make, from time to time after the date of this prospectus, pursuant to the Purchase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selling any securities under this prospectus and will not receive any of the proceeds from the sale of our Common Stock by the Selling Stockholder. However, we may receive up to $10,000,000 aggregate gross proceeds under the Purchase Agreement from sales of Common Stock we may elect to make to B. Riley Principal Capital II pursuant to the Purchase Agreement after the date of this prospectus. See “The Committed Equity Facility” for a description of the Purchase Agreement and “Selling Stockholder” for additional information regarding B. Riley Principal Capital II.</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Riley Principal Capital II may sell or otherwise dispose of the Common Stock described in this prospectus in a number of different ways and at varying prices. See “Plan of Distribution (Conflict of Interest)” for more information about how B. Riley Principal Capital II may sell or otherwise dispose of the Common Stock pursuant to this prospectus. B. Riley Principal Capital II is an “underwriter” within the meaning of Section 2(a)(11) of the Securities Act of 1933, as amended, or the Securities Act.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the expenses incurred in registering under the Securities Act the offer and sale of the shares of Common Stock to which this prospectus relates by the Selling Stockholder, including legal and accounting fees. We have also engaged Seaport Global Securities LLC to act as a “qualified independent underwriter” in this offering, whose fees and expenses we have paid upon the filing of the registration statement that includes this prospectus, however, the Selling Stockholder has agreed to reimburse us for the full amount of such fees and expenses. See section titled “Plan of Distribution (Conflict of Interest)” beginning on page 152 of this prospectus.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our Common Stock are listed on the Nasdaq Stock Market LLC (“Nasdaq”) under the symbols “MDAI”. On January 2, 2024, the closing price of our Common Stock was $2.53.</w:t>
      </w:r>
    </w:p>
    <w:p>
      <w:pPr>
        <w:pStyle w:val="TextBody"/>
        <w:keepNext w:val="false"/>
        <w:pageBreakBefore w:val="false"/>
        <w:widowControl/>
        <w:pBdr/>
        <w:bidi w:val="0"/>
        <w:spacing w:before="1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You should review carefully the risks and uncertainties described in the section titled “Risk Factors” beginning on page 12 of this prospectus, and under similar headings in any amendments or supplements to this prospectus.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(the “SEC”) nor any state securities commission has approved or disapproved of these securities, or passed upon the accuracy or adequacy of this prospectus. Any representation to the contrary is a criminal offense.</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date of this prospectus is            , 2024.</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2">
              <w:r>
                <w:rPr>
                  <w:rStyle w:val="InternetLink"/>
                  <w:rFonts w:ascii="Times New Roman PS Std;serif" w:hAnsi="Times New Roman PS Std;serif"/>
                  <w:b w:val="false"/>
                  <w:i w:val="false"/>
                  <w:caps w:val="false"/>
                  <w:smallCaps w:val="false"/>
                  <w:sz w:val="20"/>
                </w:rPr>
                <w:t>ABOUT THIS PROSPECTUS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MARKET AND INDUSTRY DATA</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TRADEMARKS, TRADE NAMES AND SERVICE MARKS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BASIS OF PRESENTATION AND GLOSSARY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CAUTIONARY NOTE REGARDING FORWARD-LOOKING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SUMMARY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THE OFFERING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RISK FACTORS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USE OF PROCEEDS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sz w:val="20"/>
                </w:rPr>
                <w:t>Determination of Offering Price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THE COMMITTED EQUITY FACILITY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sz w:val="20"/>
                </w:rPr>
                <w:t>Market Information for Common Stock and Dividend Policy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2002">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sz w:val="20"/>
                </w:rPr>
                <w:t>Business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sz w:val="20"/>
                </w:rPr>
                <w:t>Management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sz w:val="20"/>
                </w:rPr>
                <w:t>Executive and Director Compensation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sz w:val="20"/>
                </w:rPr>
                <w:t>Certain Relationships and Related Party Transactions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sz w:val="20"/>
                </w:rPr>
                <w:t>Beneficial Ownership of Securities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sz w:val="20"/>
                </w:rPr>
                <w:t>Selling Stockholder</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sz w:val="20"/>
                </w:rPr>
                <w:t>Description of Securities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sz w:val="20"/>
                </w:rPr>
                <w:t>Restrictions on Resale of Securities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2003">
              <w:r>
                <w:rPr>
                  <w:rStyle w:val="InternetLink"/>
                  <w:rFonts w:ascii="Times New Roman PS Std;serif" w:hAnsi="Times New Roman PS Std;serif"/>
                  <w:b w:val="false"/>
                  <w:i w:val="false"/>
                  <w:caps w:val="false"/>
                  <w:smallCaps w:val="false"/>
                  <w:sz w:val="20"/>
                </w:rPr>
                <w:t>PLAN OF DISTRIBUTION (CONFLICT OF INTEREST)</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2004">
              <w:r>
                <w:rPr>
                  <w:rStyle w:val="InternetLink"/>
                  <w:rFonts w:ascii="Times New Roman PS Std;serif" w:hAnsi="Times New Roman PS Std;serif"/>
                  <w:b w:val="false"/>
                  <w:i w:val="false"/>
                  <w:caps w:val="false"/>
                  <w:smallCaps w:val="false"/>
                  <w:sz w:val="20"/>
                </w:rPr>
                <w:t>MATERIAL U.S. FEDERAL INCOME TAX CONSEQUENCES NON-U.S. HOLDERS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EXPERTS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LEGAL MATTERS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2001">
              <w:r>
                <w:rPr>
                  <w:rStyle w:val="InternetLink"/>
                  <w:rFonts w:ascii="Times New Roman PS Std;serif" w:hAnsi="Times New Roman PS Std;serif"/>
                  <w:b w:val="false"/>
                  <w:i w:val="false"/>
                  <w:caps w:val="false"/>
                  <w:smallCaps w:val="false"/>
                  <w:sz w:val="20"/>
                </w:rPr>
                <w:t>FINANCIAL STATEMENTS AND SUPPLEMENTARY DATA INDEX TO FINANCIAL STATEMENT</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22"/>
      <w:bookmarkEnd w:id="3"/>
      <w:r>
        <w:rPr>
          <w:rFonts w:ascii="Times New Roman PS Std;serif" w:hAnsi="Times New Roman PS Std;serif"/>
          <w:b/>
          <w:i w:val="false"/>
          <w:caps w:val="false"/>
          <w:smallCaps w:val="false"/>
          <w:sz w:val="20"/>
        </w:rPr>
        <w:t>ABOUT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S-1 that we filed with the SEC to register the securities described in this prospectus for resale by the Selling Stockholder who may, from time to time, sell the securities described in this prospectus. We will not receive any proceeds from the sale of shares of Common Stock by the Selling Stockholder pursuant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Stockholder,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Stockholder take no responsibility for and can provide no assurance as to the reliability of any other information that others may give you. We and the Selling Stockholder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“Risk Factors” contained in this prospectus, any post-effective amendment and the applicable prospectus supplement. Accordingly, investors should not place undue reliance on this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11, 2023, we consummated the business combination (the “Business Combination”) contemplated by that certain Business Combination Agreement, dated as of April 11, 2023, by and among Rosecliff Acquisition Corp I (“RCLF”), Ghost Merger Sub I, Inc. (“Merger Sub I”), Ghost Merger Sub II, LLC (“Merger Sub II”), and Spectral MD Holdings, Ltd. (“Legacy Spectral”), whereby Merger Sub I merged with and into Legacy Spectral (the “First Merger”), with Legacy Spectral surviving the First Merger as a wholly owned subsidiary of RCLF and RCLF changed its name to “Spectral AI, Inc.”, and, immediately following the First Merger, Legacy Spectral merged with and into Merger Sub II (the “Second Merger”), with Merger Sub II surviving the Second Merger as a wholly owned subsidiary of RCLF (collectively,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prospectus, unless otherwise indicated or the context otherwise requires, references to “we,” “us,” “our,” the “Company,” “Registrant,” and “Spectral” refer to the consolidated operations of Spectral AI, Inc., formerly known as Rosecliff Acquisition Corp I, and its subsidiaries. References to “RCLF” refer to the Company prior to the consummation of the Business Combination and references to “Legacy Spectral” refer to Spectral MD Holdings, Ltd. prior to the consummation of the Business Combination.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21"/>
      <w:bookmarkEnd w:id="4"/>
      <w:r>
        <w:rPr>
          <w:rFonts w:ascii="Times New Roman PS Std;serif" w:hAnsi="Times New Roman PS Std;serif"/>
          <w:b/>
          <w:i w:val="false"/>
          <w:caps w:val="false"/>
          <w:smallCaps w:val="false"/>
          <w:sz w:val="20"/>
        </w:rPr>
        <w:t>MARKET AND INDUSTRY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and any post-effective amendment or any prospectus supplement may contain, information concerning the market and industry in which we conduct our business. Spectral operates in an industry in which it is difficult to obtain precise industry and market information. We have obtained market and industry data in this prospectus from industry publications and from surveys or studies conducted by third parties that it believes to be reliable. We cannot assure you of the accuracy and completeness of such information, and it has not independently verified the market and industry data contained in this prospectus or the underlying assumptions relied on therein. As a result, you should be aware that any such market, industry and other similar data may not be reliable. While we are not aware of any misstatements regarding any industry data presented in this prospectus, such data involves risks and uncertainties and is subject to change based on various factors, including those discussed under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below.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20"/>
      <w:bookmarkEnd w:id="5"/>
      <w:r>
        <w:rPr>
          <w:rFonts w:ascii="Times New Roman PS Std;serif" w:hAnsi="Times New Roman PS Std;serif"/>
          <w:b/>
          <w:i w:val="false"/>
          <w:caps w:val="false"/>
          <w:smallCaps w:val="false"/>
          <w:sz w:val="20"/>
        </w:rPr>
        <w:t>TRADEMARKS, TRADE NAMES AND SERVICE MARKS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subsidiaries own or have rights to trademarks, trade names and service marks that they use in connection with the operation of their business. In addition, their names, logos and website names and addresses are their trademarks or service marks. Other trademarks, trade names and service marks appearing in this prospectus, are the property of their respective owners. Solely for convenience, in some cases, the trademarks, trade names and service marks referred to in this prospectus are listed without the applicable ®, M and SM symbols, but their respective owners will assert, to the fullest extent under applicable law, their rights to these trademarks, trade names and service marks.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19"/>
      <w:bookmarkEnd w:id="6"/>
      <w:r>
        <w:rPr>
          <w:rFonts w:ascii="Times New Roman PS Std;serif" w:hAnsi="Times New Roman PS Std;serif"/>
          <w:b/>
          <w:i w:val="false"/>
          <w:caps w:val="false"/>
          <w:smallCaps w:val="false"/>
          <w:sz w:val="20"/>
        </w:rPr>
        <w:t>BASIS OF PRESENTATION AND GLOSSARY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Bylaws</w:t>
      </w:r>
      <w:r>
        <w:rPr>
          <w:rFonts w:ascii="Times New Roman PS Std;serif" w:hAnsi="Times New Roman PS Std;serif"/>
          <w:b w:val="false"/>
          <w:i w:val="false"/>
          <w:caps w:val="false"/>
          <w:smallCaps w:val="false"/>
          <w:sz w:val="20"/>
        </w:rPr>
        <w:t>” are to the Amended and Restated Bylaws of Spectral AI, Inc.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Closing</w:t>
      </w:r>
      <w:r>
        <w:rPr>
          <w:rFonts w:ascii="Times New Roman PS Std;serif" w:hAnsi="Times New Roman PS Std;serif"/>
          <w:b w:val="false"/>
          <w:i w:val="false"/>
          <w:caps w:val="false"/>
          <w:smallCaps w:val="false"/>
          <w:sz w:val="20"/>
        </w:rPr>
        <w:t>” are to the closing of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Closing Date</w:t>
      </w:r>
      <w:r>
        <w:rPr>
          <w:rFonts w:ascii="Times New Roman PS Std;serif" w:hAnsi="Times New Roman PS Std;serif"/>
          <w:b w:val="false"/>
          <w:i w:val="false"/>
          <w:caps w:val="false"/>
          <w:smallCaps w:val="false"/>
          <w:sz w:val="20"/>
        </w:rPr>
        <w:t>” are to September 11, 2023;</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Code</w:t>
      </w:r>
      <w:r>
        <w:rPr>
          <w:rFonts w:ascii="Times New Roman PS Std;serif" w:hAnsi="Times New Roman PS Std;serif"/>
          <w:b w:val="false"/>
          <w:i w:val="false"/>
          <w:caps w:val="false"/>
          <w:smallCaps w:val="false"/>
          <w:sz w:val="20"/>
        </w:rPr>
        <w:t>” are to the U.S. Internal Revenue Code of 1986,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Common Stock</w:t>
      </w:r>
      <w:r>
        <w:rPr>
          <w:rFonts w:ascii="Times New Roman PS Std;serif" w:hAnsi="Times New Roman PS Std;serif"/>
          <w:b w:val="false"/>
          <w:i w:val="false"/>
          <w:caps w:val="false"/>
          <w:smallCaps w:val="false"/>
          <w:sz w:val="20"/>
        </w:rPr>
        <w:t>” are to shares of the Company’s Class A common stock, par value $0.0001 after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DGCL</w:t>
      </w:r>
      <w:r>
        <w:rPr>
          <w:rFonts w:ascii="Times New Roman PS Std;serif" w:hAnsi="Times New Roman PS Std;serif"/>
          <w:b w:val="false"/>
          <w:i w:val="false"/>
          <w:caps w:val="false"/>
          <w:smallCaps w:val="false"/>
          <w:sz w:val="20"/>
        </w:rPr>
        <w:t>” is to the Delaware General Corporation Law, as may be amended from time to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Equity Incentive Plan</w:t>
      </w:r>
      <w:r>
        <w:rPr>
          <w:rFonts w:ascii="Times New Roman PS Std;serif" w:hAnsi="Times New Roman PS Std;serif"/>
          <w:b w:val="false"/>
          <w:i w:val="false"/>
          <w:caps w:val="false"/>
          <w:smallCaps w:val="false"/>
          <w:sz w:val="20"/>
        </w:rPr>
        <w:t>” is to the Spectral AI, Inc. 2023 Equity Incentive Plan, which will be approved and adopted by the Company at its first annual meeting following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Exchange Act</w:t>
      </w:r>
      <w:r>
        <w:rPr>
          <w:rFonts w:ascii="Times New Roman PS Std;serif" w:hAnsi="Times New Roman PS Std;serif"/>
          <w:b w:val="false"/>
          <w:i w:val="false"/>
          <w:caps w:val="false"/>
          <w:smallCaps w:val="false"/>
          <w:sz w:val="20"/>
        </w:rPr>
        <w:t>” is to the Securities Exchange Act of 1934,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First Effective Time</w:t>
      </w:r>
      <w:r>
        <w:rPr>
          <w:rFonts w:ascii="Times New Roman PS Std;serif" w:hAnsi="Times New Roman PS Std;serif"/>
          <w:b w:val="false"/>
          <w:i w:val="false"/>
          <w:caps w:val="false"/>
          <w:smallCaps w:val="false"/>
          <w:sz w:val="20"/>
        </w:rPr>
        <w:t>” is to the effective time of the First Merger;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Founder Shares</w:t>
      </w:r>
      <w:r>
        <w:rPr>
          <w:rFonts w:ascii="Times New Roman PS Std;serif" w:hAnsi="Times New Roman PS Std;serif"/>
          <w:b w:val="false"/>
          <w:i w:val="false"/>
          <w:caps w:val="false"/>
          <w:smallCaps w:val="false"/>
          <w:sz w:val="20"/>
        </w:rPr>
        <w:t>” are to the shares of RCLF Class B common stock initially purchased by the Initial Holders in a private placement prior to the RCLF IPO and the shares of Common Stock issued upon conversion of such shares of Class B common stock;</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GAAP</w:t>
      </w:r>
      <w:r>
        <w:rPr>
          <w:rFonts w:ascii="Times New Roman PS Std;serif" w:hAnsi="Times New Roman PS Std;serif"/>
          <w:b w:val="false"/>
          <w:i w:val="false"/>
          <w:caps w:val="false"/>
          <w:smallCaps w:val="false"/>
          <w:sz w:val="20"/>
        </w:rPr>
        <w:t>” is to generally accepted accounting principles in the United States, as applied on a consistent basis;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Initial Holders</w:t>
      </w:r>
      <w:r>
        <w:rPr>
          <w:rFonts w:ascii="Times New Roman PS Std;serif" w:hAnsi="Times New Roman PS Std;serif"/>
          <w:b w:val="false"/>
          <w:i w:val="false"/>
          <w:caps w:val="false"/>
          <w:smallCaps w:val="false"/>
          <w:sz w:val="20"/>
        </w:rPr>
        <w:t>” are to the Sponsor and each independent director of RCLF;</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Investment Company Act</w:t>
      </w:r>
      <w:r>
        <w:rPr>
          <w:rFonts w:ascii="Times New Roman PS Std;serif" w:hAnsi="Times New Roman PS Std;serif"/>
          <w:b w:val="false"/>
          <w:i w:val="false"/>
          <w:caps w:val="false"/>
          <w:smallCaps w:val="false"/>
          <w:sz w:val="20"/>
        </w:rPr>
        <w:t>” is to the Investment Company Act of 1940,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Legacy Spectral</w:t>
      </w:r>
      <w:r>
        <w:rPr>
          <w:rFonts w:ascii="Times New Roman PS Std;serif" w:hAnsi="Times New Roman PS Std;serif"/>
          <w:b w:val="false"/>
          <w:i w:val="false"/>
          <w:caps w:val="false"/>
          <w:smallCaps w:val="false"/>
          <w:sz w:val="20"/>
        </w:rPr>
        <w:t>” is to Spectral MD Holdings, Ltd., a Delaware corporation, prior to the consummation of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Merger Sub I</w:t>
      </w:r>
      <w:r>
        <w:rPr>
          <w:rFonts w:ascii="Times New Roman PS Std;serif" w:hAnsi="Times New Roman PS Std;serif"/>
          <w:b w:val="false"/>
          <w:i w:val="false"/>
          <w:caps w:val="false"/>
          <w:smallCaps w:val="false"/>
          <w:sz w:val="20"/>
        </w:rPr>
        <w:t>” is to Ghost Merger Sub I Inc., a Delaware corporation and a direct, wholly owned subsidiary of RCLF;</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Merger Sub II</w:t>
      </w:r>
      <w:r>
        <w:rPr>
          <w:rFonts w:ascii="Times New Roman PS Std;serif" w:hAnsi="Times New Roman PS Std;serif"/>
          <w:b w:val="false"/>
          <w:i w:val="false"/>
          <w:caps w:val="false"/>
          <w:smallCaps w:val="false"/>
          <w:sz w:val="20"/>
        </w:rPr>
        <w:t>” is to Ghost Merger Sub II LLC, a Delaware limited liability company and a direct, wholly owned subsidiary of RCLF;</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Nasdaq</w:t>
      </w:r>
      <w:r>
        <w:rPr>
          <w:rFonts w:ascii="Times New Roman PS Std;serif" w:hAnsi="Times New Roman PS Std;serif"/>
          <w:b w:val="false"/>
          <w:i w:val="false"/>
          <w:caps w:val="false"/>
          <w:smallCaps w:val="false"/>
          <w:sz w:val="20"/>
        </w:rPr>
        <w:t>” is to the Nasdaq Stock Market LLC;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RCLF</w:t>
      </w:r>
      <w:r>
        <w:rPr>
          <w:rFonts w:ascii="Times New Roman PS Std;serif" w:hAnsi="Times New Roman PS Std;serif"/>
          <w:b w:val="false"/>
          <w:i w:val="false"/>
          <w:caps w:val="false"/>
          <w:smallCaps w:val="false"/>
          <w:sz w:val="20"/>
        </w:rPr>
        <w:t>” is to Rosecliff Acquisition Corp I, a Delaware corporation;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RCLF Class A common stock</w:t>
      </w:r>
      <w:r>
        <w:rPr>
          <w:rFonts w:ascii="Times New Roman PS Std;serif" w:hAnsi="Times New Roman PS Std;serif"/>
          <w:b w:val="false"/>
          <w:i w:val="false"/>
          <w:caps w:val="false"/>
          <w:smallCaps w:val="false"/>
          <w:sz w:val="20"/>
        </w:rPr>
        <w:t>” is to the RCLF Class A common stock, par value $0.0001 per share, prior to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RCLF Class B common stock</w:t>
      </w:r>
      <w:r>
        <w:rPr>
          <w:rFonts w:ascii="Times New Roman PS Std;serif" w:hAnsi="Times New Roman PS Std;serif"/>
          <w:b w:val="false"/>
          <w:i w:val="false"/>
          <w:caps w:val="false"/>
          <w:smallCaps w:val="false"/>
          <w:sz w:val="20"/>
        </w:rPr>
        <w:t>” is to the RCLF Class B common stock, par value $0.0001 per share, prior to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RCLF common stock</w:t>
      </w:r>
      <w:r>
        <w:rPr>
          <w:rFonts w:ascii="Times New Roman PS Std;serif" w:hAnsi="Times New Roman PS Std;serif"/>
          <w:b w:val="false"/>
          <w:i w:val="false"/>
          <w:caps w:val="false"/>
          <w:smallCaps w:val="false"/>
          <w:sz w:val="20"/>
        </w:rPr>
        <w:t>” are to the RCLF Class A common stock and RCLF Class B common stock prior to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RCLF IPO</w:t>
      </w:r>
      <w:r>
        <w:rPr>
          <w:rFonts w:ascii="Times New Roman PS Std;serif" w:hAnsi="Times New Roman PS Std;serif"/>
          <w:b w:val="false"/>
          <w:i w:val="false"/>
          <w:caps w:val="false"/>
          <w:smallCaps w:val="false"/>
          <w:sz w:val="20"/>
        </w:rPr>
        <w:t>” are to the initial public offering by RCLF, which closed on February 17, 2021;</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Original Registration Rights/Lock-Up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w:t>
      </w:r>
      <w:r>
        <w:rPr>
          <w:rFonts w:ascii="Times New Roman PS Std;serif" w:hAnsi="Times New Roman PS Std;serif"/>
          <w:b w:val="false"/>
          <w:i w:val="false"/>
          <w:caps w:val="false"/>
          <w:smallCaps w:val="false"/>
          <w:sz w:val="20"/>
        </w:rPr>
        <w:t>” is to the Amended and Restated Registration Rights Agreement entered into at Closing by RCLF, the Sponsor, the directors and officers of RCLF, Spectral and certain stockholders of Spectral;</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SEC</w:t>
      </w:r>
      <w:r>
        <w:rPr>
          <w:rFonts w:ascii="Times New Roman PS Std;serif" w:hAnsi="Times New Roman PS Std;serif"/>
          <w:b w:val="false"/>
          <w:i w:val="false"/>
          <w:caps w:val="false"/>
          <w:smallCaps w:val="false"/>
          <w:sz w:val="20"/>
        </w:rPr>
        <w:t>” is to the U.S. Securities and Exchange Commission;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Securities Act</w:t>
      </w:r>
      <w:r>
        <w:rPr>
          <w:rFonts w:ascii="Times New Roman PS Std;serif" w:hAnsi="Times New Roman PS Std;serif"/>
          <w:b w:val="false"/>
          <w:i w:val="false"/>
          <w:caps w:val="false"/>
          <w:smallCaps w:val="false"/>
          <w:sz w:val="20"/>
        </w:rPr>
        <w:t>” is to the Securities Act of 1933, as amended;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Selling Stockholder</w:t>
      </w:r>
      <w:r>
        <w:rPr>
          <w:rFonts w:ascii="Times New Roman PS Std;serif" w:hAnsi="Times New Roman PS Std;serif"/>
          <w:b w:val="false"/>
          <w:i w:val="false"/>
          <w:caps w:val="false"/>
          <w:smallCaps w:val="false"/>
          <w:sz w:val="20"/>
        </w:rPr>
        <w:t>” is to B. Riley Principal Capital II, LLC.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SPACs</w:t>
      </w:r>
      <w:r>
        <w:rPr>
          <w:rFonts w:ascii="Times New Roman PS Std;serif" w:hAnsi="Times New Roman PS Std;serif"/>
          <w:b w:val="false"/>
          <w:i w:val="false"/>
          <w:caps w:val="false"/>
          <w:smallCaps w:val="false"/>
          <w:sz w:val="20"/>
        </w:rPr>
        <w:t>” are to special purpose acquisition companies;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Spectral Awards</w:t>
      </w:r>
      <w:r>
        <w:rPr>
          <w:rFonts w:ascii="Times New Roman PS Std;serif" w:hAnsi="Times New Roman PS Std;serif"/>
          <w:b w:val="false"/>
          <w:i w:val="false"/>
          <w:caps w:val="false"/>
          <w:smallCaps w:val="false"/>
          <w:sz w:val="20"/>
        </w:rPr>
        <w:t>” are to the Spectral Options, Spectral Warrants and Spectral RSUs;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Sponsor</w:t>
      </w:r>
      <w:r>
        <w:rPr>
          <w:rFonts w:ascii="Times New Roman PS Std;serif" w:hAnsi="Times New Roman PS Std;serif"/>
          <w:b w:val="false"/>
          <w:i w:val="false"/>
          <w:caps w:val="false"/>
          <w:smallCaps w:val="false"/>
          <w:sz w:val="20"/>
        </w:rPr>
        <w:t>” is to Rosecliff Acquisition Sponsor I LLC, a Delaware limited liability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Trust Account</w:t>
      </w:r>
      <w:r>
        <w:rPr>
          <w:rFonts w:ascii="Times New Roman PS Std;serif" w:hAnsi="Times New Roman PS Std;serif"/>
          <w:b w:val="false"/>
          <w:i w:val="false"/>
          <w:caps w:val="false"/>
          <w:smallCaps w:val="false"/>
          <w:sz w:val="20"/>
        </w:rPr>
        <w:t>” are to the trust account established by RCLF for the benefit of its stockholders with Continental Stock Transfer &amp; Trust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Units</w:t>
      </w:r>
      <w:r>
        <w:rPr>
          <w:rFonts w:ascii="Times New Roman PS Std;serif" w:hAnsi="Times New Roman PS Std;serif"/>
          <w:b w:val="false"/>
          <w:i w:val="false"/>
          <w:caps w:val="false"/>
          <w:smallCaps w:val="false"/>
          <w:sz w:val="20"/>
        </w:rPr>
        <w:t>” are to the Units sold in the RCLF IPO, with each unit consisting of one share of RCLF Class A common stock and one-third of one Warrant; and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caps w:val="false"/>
          <w:smallCaps w:val="false"/>
          <w:sz w:val="20"/>
        </w:rPr>
        <w:t>Warrants</w:t>
      </w:r>
      <w:r>
        <w:rPr>
          <w:rFonts w:ascii="Times New Roman PS Std;serif" w:hAnsi="Times New Roman PS Std;serif"/>
          <w:b w:val="false"/>
          <w:i w:val="false"/>
          <w:caps w:val="false"/>
          <w:smallCaps w:val="false"/>
          <w:sz w:val="20"/>
        </w:rPr>
        <w:t>” are to the warrants included as a component of the Units sold in the IPO, each of which is exercisable for one share of Common Stock, in accordance with its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specified otherwise, amounts in this prospectus are presented in U.S. dollars.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Defined terms in the financial statements contained in this prospectus have the meanings ascribed to them in the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8"/>
      <w:bookmarkEnd w:id="7"/>
      <w:r>
        <w:rPr>
          <w:rFonts w:ascii="Times New Roman PS Std;serif" w:hAnsi="Times New Roman PS Std;serif"/>
          <w:b/>
          <w:i w:val="false"/>
          <w:caps w:val="false"/>
          <w:smallCaps w:val="false"/>
          <w:sz w:val="20"/>
        </w:rPr>
        <w:t>CAUTIONARY NOTE REGARDING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for purposes of the safe harbor provisions under the United States Private Securities Litigation Reform Act of 1995 (the “PSLRA”), including, among other things, statement regarding the plans, strategies and prospects, both business and financial, of the Company. These statements are based on the beliefs and assumptions of the management of the Company. Although the Company believes that its plans, intentions and expectations reflected in or suggested by these forward-looking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“anticipate,” “believe,” “could,” “continue,” “estimate,” “expect,” “forecast,” “intend” “may,” “might,” “plan,” “possible,” “potential,” “project,” “scheduled,” “seek,” “should,” “will” or similar expressions, but the absence of these words does not mean that a statement is not forward-looking. There are or will be important factors that could cause our actual results to differ materially from those indicated in these forward-looking statements, including, but not limited to, the Company’s ability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effectively develop and sell our product offerings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compete in the highly-competitive and evolving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 risks associated with the healthcare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key strategic relationships with partners and distributors;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enhance future operating and financial results;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adhere to the regulatory pathway for and timing of the United States Food and Drug Administration (“FDA”), European Conformity (“CE”) and United Kingdom Conformity Assessed (“UKCA”) regulatory submissions and proceeds;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receive U.S. government contracts and future awards;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achieve anticipated target markets for burn wound and diabetic foot ulcers;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explore potential future indications and applications for DeepView and areas of interest supported by Biomedical Advanced Research and Development Authority (“BARDA”), which is part of the U.S. Health and Human Services (“HHS”) Office of the Assistant Secretary for Preparedness and Response in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secure future and pending U.S. patent applications and foreign and international patent applications;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 risks associated with the Company’s dependence on a small number of outside contract manufacturers;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develop new products and innovations to meet constantly evolving customer demands;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comply with laws and regulations applicable to the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stay abreast of modified or new laws and regulations applicable to the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acquire or make investments in other businesses, patents, technologies, products or services to grow the business, and realize the anticipated benefits therefrom;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attract, train, and retain effective officers, key employees or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respond to fluctuations in foreign currency exchange rates and political unrest and regulatory changes in international markets into which we expand or otherwise operate 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successfully defend litigation or administrative proceedings;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upgrade and maintain information technology systems;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acquire and protect intellectual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the listing of its Common Stock and Warrants on Nasdaq;</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 future liquidity requirements, which may require additional financing;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effectively respond to general economic and business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Forward-looking statements are not guarantees of performance. You should not put undue reliance on these statements, which speak only as of the date hereof.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prospectus completely and with the understanding that our actual future results may be materially different from what we expect. We qualify all of our forward-looking statements by these cautionary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8" w:name="T17"/>
      <w:bookmarkEnd w:id="8"/>
      <w:r>
        <w:rPr>
          <w:rFonts w:ascii="Times New Roman PS Std;serif" w:hAnsi="Times New Roman PS Std;serif"/>
          <w:b/>
          <w:i w:val="false"/>
          <w:caps w:val="false"/>
          <w:smallCaps w:val="false"/>
          <w:sz w:val="20"/>
          <w:bdr w:val="single" w:sz="8" w:space="10" w:color="000000"/>
        </w:rPr>
        <w:t>SUMMARY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appearing elsewhere in this prospectus or the documents incorporated by reference herein. Because it is a summary, it may not contain all of the information that may be important to you. To understand this offering fully, you should read this entire prospectus, the registration statement of which this prospectus is a part and the documents incorporated by reference herein carefully, including the information set forth under the heading “Risk Factors” and our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artificial intelligence (“AI”) company focused on medical diagnostics for faster and more accurate treatment decisions in wound care. Anchored by our internally developed DeepView® System, our AI-based digital wound healing assessment in predictive medical diagnostics provides clinicians with an objective and immediate assessment of a wound’s healing potential. We have received over $280 million of U.S. Government contracts, including under the U.S. federal mass casualty countermeasures program, which we have used develop our burn indication and to expand into diabetic foot ulcers (“DFU”) and anticipated multiple other clinical indications.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DeepView System integrates proprietary imaging technology with AI-enabled algorithms to see deep below the skin surface to provide a healing potential assessment in seconds by clearly defining on day one healing versus non-healing tissue invisible to the naked eye. DeepView delivers a binary wound healing prediction specifically engineered to allow the physician to make a more accurate, timely and informed decision regarding next step treatment plan for a patient’s wounds by informing them on whether the wound is likely to heal over time. The imaging system that makes up part of our DeepView System has received United Kingdom Conformity Assessed (“UKCA”) marking for use in the United Kingdom and has Class 1 medical device classification with the United States Food and Drug Administration (“FDA”), while we anticipate that the DeepView System as a whole, including the AI component, may achieve Class II classification in the US via a De Novo application.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Committed Equity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December 26, 2023, we entered into the Purchase Agreement and a related registration rights agreement, dated as of December 26, 2023 (the “Registration Rights Agreement”), with B. Riley Principal Capital II. Upon the terms and subject to the satisfaction of the conditions contained in the Purchase Agreement, we have the right, in our sole discretion, to sell to B. Riley Principal Capital II up to $10,000,000 of shares of our Common Stock (subject to certain limitations contained in the Purchase Agreement), from time to time after the date of this prospectus and during the term of the Purchase Agreement through a Market Open Purchase or an Intraday Purchase on any Purchase Date (each term as defined below). Sales of Common Stock pursuant to the Purchase Agreement, and the timing of any sales, are solely at our option, and we are under no obligation to sell any securities to B. Riley Principal Capital II under the Purchase Agreement. In accordance with our obligations under the Registration Rights Agreement, we have filed the registration statement that includes this prospectus with the SEC to register under the Securities Act, the offer and resale by B. Riley Principal Capital II of up to 3,249,360 shares of Common Stock, consisting of (i) up to 3,209,360 shares of Common Stock (the “Purchase Shares”) that we may, in our sole discretion, elect sell to B. Riley Principal Capital II, from time to time from and after the Commencement Date (defined below) pursuant to the Purchase Agreement and (ii) 40,000 shares of Common Stock (the “Commitment Shares”) we issued to B. Riley Principal Capital II upon our execution of the Purchase Agreement on December 26, 2023, together with our payment of $75,000 in cash to B. Riley Principal Capital II upon the settlement of the first purchase (whether such first purchase is a Market Open Purchase or Intraday Purchase), if any, that we direct B. Riley Principal Capital II to make under the Purchase Agreement (the “Cash Commitment Fee”), as consideration for its commitment to purchase shares of our Common Stock that we may, in our sole discretion, direct B. Riley Principal Capital II to purchase from us pursuant to the Purchase Agreement, from time to time after the date of this prospectus and during the term of the Purchase Agreement. If we do not direct B. Riley Principal Capital II to make any Market Open Purchase or Intraday Purchase under the Purchase Agreement, or if the Commencement (as defined below) does not occur, then we have agreed to pay the $75,000 Cash Commitment Fee to B. Riley Principal Capital II within three trading days following the termination of the Purchase Agreement in accordance with its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Upon the initial satisfaction of each of the conditions to B. Riley Principal Capital II’s purchase obligations set forth in the Purchase Agreement (the initial satisfaction of all of such conditions, the “Commencement”), none of which are within B. Riley Principal Capital II’s control, including that the registration statement that includes this prospectus shall have been declared effective by the SEC and the final form of this prospectus shall have been filed with the SEC,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the right, but not the obligation, from time to time at our sole discretion for a period of up to 24 months, unless the Purchase Agreement is earlier terminated, beginning on the date on which the Commencement occurs (such date, the “Commencement Date”), to direct B. Riley Principal Capital II to purchase a specified number of shares of Common Stock (each, a “Market Open Purchase”), not to exceed the lesser of (such lesser number of shares, the “Market Open Purchase Maximum Amount”): (i) 1,000,000 shares of Common Stock and (ii) up to a certain percentage, which we will specify in the applicable Market Open Purchase Notice (as defined below) for such Market Open Purchase (such applicable percentage not to exceed 25.0%) (such applicable percentage specified by us for a Market Open Purchase, the “Market Open Purchase Percentage”), of the total aggregate number (or volume) of shares of our Common Stock traded on Nasdaq during the applicable Market Open Purchase Valuation Period (as defined below) for such Market Open Purchase (such specified number of shares to be purchased by B. Riley Principal Capital II in such Market Open Purchase, adjusted to the extent necessary to give effect to the applicable Market Open Purchase Maximum Amount and certain additional limitations set forth in the Purchase Agreement, the “Market Open Purchase Share Amount”), by timely delivering written notice of such Market Open Purchase to B. Riley Principal Capital II (each, a “Market Open Purchase Notice”) prior to 9:00 a.m., New York City time, on any trading day (each, a “Purchase Date”), so long as (a) the closing sale price of our Common Stock on Nasdaq on the trading day immediately prior to such Purchase Date is not less than $1.00 (such price, the “Threshold Price”), and (b) all shares of Common Stock subject to all prior Market Open Purchases and all prior Intraday Purchases (defined below) effected by us under the Purchase Agreement (as applicable) have been received by B. Riley Principal Capital II in the manner set forth in the Purchase Agreement, prior to the time we deliver such Market Open Purchase Notice to B. Riley Principal Capital 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per share purchase price that B. Riley Principal Capital II is required to pay for shares of Common Stock in a Market Open Purchase effected by us pursuant to the Purchase Agreement, if any, will be determined by reference to the volume weighted average price of the Common Stock (the “VWAP”), calculated in accordance with the Purchase Agreement, for the period (the “Market Open Purchase Valuation Period”) beginning at the official open (or “commencement”) of the regular trading session on Nasdaq on the applicable Purchase Date for such Purchase, and ending at the earliest to occur of (i) 3:59 p.m., New York City time, on such Purchase Date or such earlier time publicly announced by the trading market as the official close of the regular trading session on such Purchase Date (ii) such time that the total aggregate number (or volume) of shares of Common Stock traded on Nasdaq during such Market Open Purchase Valuation Period (calculated in accordance with the Purchase Agreement) reaches the applicable share volume maximum amount for such Purchase (the “Market Open Purchase Share Volume Maximum”), calculated by dividing (a) the applicable Market Open Purchase Share Amount for such Market Open Purchase, by (b) the Market Open Purchase Percentage we specified in the applicable Market Open Purchase Notice for such Market Open Purchase, and (iii) if we further specify in the applicable Market Open Purchase Notice for such Market Open Purchase that a “limit order discontinue election” (a “Limit Order Discontinue Election”) shall apply to such Market Open Purchase, such time that the trading price of our Common Stock on Nasdaq during such Market Open Purchase Valuation Period (calculated in accordance with the Purchase Agreement) falls below the applicable minimum price threshold for such Market Open Purchase specified by us in the Market Open Purchase Notice for such Market Open Purchase, or if we do not specify a minimum price threshold in such Market Open Purchase Notice, a price equal to 75.0% of the closing sale price of the Common Stock on the trading day immediately prior to the applicable Purchase Date for such purchase (the “Minimum Price Threshold”), less a fixed 3.5% discount to the VWAP for such Market Open Purchase Valuation Period, calculated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Under the Purchase Agreement, for purposes of calculating the volume of shares of Common Stock traded during a Market Open Purchase Valuation Period, as well as the VWAP for a Market Open Purchase Valuation Period,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(a “Limit Order Continue Election”), rather than a Limit Order Discontinue Election, shall apply to such Market Open Purchase, all purchases and sales of Common Stock on Nasdaq during such Market Open Purchase Valuation Period at a price per share that is less than the applicable Minimum Price </w:t>
      </w:r>
      <w:r>
        <w:rPr>
          <w:rFonts w:ascii="Times New Roman PS Std;serif" w:hAnsi="Times New Roman PS Std;serif"/>
          <w:b w:val="false"/>
          <w:i w:val="false"/>
          <w:caps w:val="false"/>
          <w:smallCaps w:val="false"/>
          <w:sz w:val="20"/>
          <w:u w:val="single"/>
          <w:bdr w:val="single" w:sz="8" w:space="10" w:color="000000"/>
        </w:rPr>
        <w:t>Threshold</w:t>
      </w:r>
      <w:r>
        <w:rPr>
          <w:rFonts w:ascii="Times New Roman PS Std;serif" w:hAnsi="Times New Roman PS Std;serif"/>
          <w:b w:val="false"/>
          <w:i w:val="false"/>
          <w:caps w:val="false"/>
          <w:smallCaps w:val="false"/>
          <w:sz w:val="20"/>
          <w:bdr w:val="single" w:sz="8" w:space="10" w:color="000000"/>
        </w:rPr>
        <w:t xml:space="preserve"> for such Market Open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From and after the Commencement Date, in addition to Market Open Purchases described above, we will also have the right, but not the obligation, subject to the continued satisfaction of the conditions set forth in the Purchase Agreement, to direct B. Riley Principal Capital II to purchase, on any trading day that would qualify as a Purchase Date,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whether or not a Market Open Purchase is effected on such Purchase Date, a specified number of shares of Common Stock (each, an “Intraday Purchase”), not to exceed the lesser of (such lesser number of shares, the “Intraday Purchase Maximum Amount”): (i) 1,000,000 shares of Common Stock and (ii) up to a certain percentage, which we will specify in the applicable Intraday Purchase Notice (as defined below) for such Intraday Purchase (such applicable percentage not to exceed 25.0%) (such applicable percentage specified by us for an Intraday Purchase, the “Intraday Purchase Percentage”), of the total aggregate volume of shares of our Common Stock traded on Nasdaq during the applicable “Intraday Purchase Valuation Period” (determined in a similar manner as the Market Open Purchase Valuation Periods for a Market Open Purchase) for such Intraday Purchase (such specified number of shares, adjusted to the extent necessary to give effect to the applicable Intraday Purchase Maximum Amount, the “Intraday Purchase Share Amount”), by the delivery to B. Riley Principal Capital II of an irrevocable written purchase notice for such Intraday Purchase, after 10:00 a.m., New York City time (and after the Market Open Purchase Valuation Period for any earlier Market Open Purchase and the Intraday Purchase Valuation Period for the most recent prior Intraday Purchase effected on the same Purchase Date as such applicable Intraday Purchase, if applicable, have ended), and prior to 3:30 p.m., New York City time, on such Purchase Date (each, an “Intraday Purchase Notice”), so long as (i) the closing sale price of the Common Stock on Nasdaq on the trading day immediately prior to such Purchase Date is not less than the Threshold Price and (ii) 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in the manner set forth in the Purchase Agreement, prior to the time we deliver the Intraday Purchase Notice for such applicable Intraday Purchase to B. Riley Principal Capital 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per share purchase price for the shares of Common Stock that we elect to sell to B. Riley Principal Capital II in an Intraday Purchase pursuant to the Purchase Agreement, if any, will be calculated in the same manner as in the case of a Market Open Purchase (including the same fixed percentage discounts to the applicable VWAP used to calculate the per share purchase price for a Market Open Purchase, as described above), provided that the VWAP for each Intraday Purchase effected on a Purchase Date will be calculated over different Intraday Purchase Valuation Periods during the regular trading session on Nasdaq on such Purchase Date, each of which will commence and end at different times on such Purchase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There is no upper limit on the price per share that B. Riley Principal Capital II could be obligated to pay for the Common Stock we may elect to sell to it in any Market Open Purchase or any Intraday Purchase under the Purchase Agreement. In the case of Market Open Purchases and Intraday Purchases effected by us under the Purchase Agreement, if any, all share and dollar amounts used in determining the purchase price per share of Common Stock to be purchased by B. Riley Principal Capital II in a Market Open Purchase or an Intraday Purchase (as applicable), or in determining the applicable maximum purchase share amounts or applicable volume or price threshold amounts in connection with any such Market Open Purchase or Intraday Purchase (as applicable), in each case, will be equitably adjusted as set forth in the Purchase Agreement for any reorganization, recapitalization, non-cash dividend, stock split, reverse stock split or other similar transaction occurring during any period used to calculate such per share purchase price, maximum purchase share amounts or applicable volume or price threshold amounts.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control the timing and amount of any sales of Common Stock to B. Riley Principal Capital II that we may elect, in our sole discretion, to effect from time to time from and after the Commencement Date and during the term of the Purchase Agreement. Actual sales of shares of Common Stock to B. Riley Principal Capital II under the Purchase Agreement will depend on a variety of factors to be determined by us from time to time, including, among other things, market conditions, the trading price of the Common Stock and determinations by us as to the appropriate sources of funding for its business and its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Under the applicable Nasdaq rules, in no event may we issue to B. Riley Principal Capital II under the Purchase Agreement more than 3,249,360 shares of Common Stock, which number of shares is equal to 19.99% of the shares of Common Stock outstanding immediately prior to the execution of the Purchase Agreement (the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$2.55 per share (representing the lower of (a) the official closing price of our Common Stock on Nasdaq immediately preceding the execution of the Purchase Agreement and (b) the average official closing price of our Common Stock on Nasdaq for the five consecutive trading days immediately preceding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execution of the Purchase Agreement, adjusted as required by Nasdaq to take into account our issuance of the Commitment Shares to B. Riley Principal Capital II for non-cash consideration), so that the Exchange Cap limitation will not apply to issuances and sales of Common Stock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Moreover, we may not issue or sell any shares of Common Stock to B. Riley Principal Capital II under the Purchase Agreement which, when aggregated with all other shares of Common Stock then beneficially owned by B. Riley Principal Capital II and its affiliates (as calculated pursuant to Section 13(d) of the Securities Exchange Act of 1934, as amended (the “Exchange Act”), and Rule 13d-3 thereunder), would result in B. Riley Principal Capital II beneficially owning more than 4.99% of the outstanding shares of our Common Stock (the “Beneficial Ownership Limitation”).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net proceeds to us from sales that we elect to make to B. Riley Principal Capital II under the Purchase Agreement, if any, will depend on the frequency and prices at which we sell shares of our stock to B. Riley Principal Capital II. We expect that any proceeds received by us from such sales to B. Riley Principal Capital II will be used for working capital and general corporate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There are no restrictions on future financings, rights of first refusal, participation rights, penalties or liquidated damages in the Purchase Agreement or Registration Rights Agreement, other than a prohibition (with certain limited exceptions) on entering into certain types of “dilutive” equity transactions during the period beginning on the trading day immediately prior to the applicable Purchase Date for a Market Open Purchase or Intraday Purchase (as applicable), and ending on the third trading day after the full settlement thereof under the Purchase Agreement, and a prohibition on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 Riley Principal Capital II has agreed that none of B. Riley Principal Capital II, its sole member, any of their respective officers, or any entity managed or controlled by B. Riley Principal Capital II or its sole member will engage in or effect, directly or indirectly, for its own account or for the account of any other of such persons or entities, any short sales of the Common Stock or hedging transaction that establishes a net short position in the Common Stock during the term of the Purchase Agreement. Furthermore, B. Riley Principal Capital II covenants and agrees that, with respect to each brokerage account in which shares of Common Stock beneficially owned by B. Riley Principal Capital II are held or to be held, it shall provide written instructions to the applicable broker that it does not wish to participate in, and expressly opts out of, any “fully paid lending program” or similar program with respect to such brokerage account so that shares of Common Stock beneficially owned that are, or to be held in, such brokerage account will not be made available by the broker for lending to any third person in connection with, to effect or otherwise to facilitate any short sale of Common Stock by any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Purchase Agreement will automatically terminate on the earliest to occur of (i) the first day of the month next following the 24-month anniversary of the Commencement Date, (ii) the date on which B. Riley Principal Capital II shall have purchased from us under the Purchase Agreement shares of Common Stock for an aggregate gross purchase price of $10,000,000, (iii) the date on which the Common Stock shall have failed to be listed or quoted on Nasdaq or another U.S. national securities exchange identified as an “eligible market” in the Purchase Agreement, (iv) the 30th trading day after the date on which a voluntary or involuntary bankruptcy proceeding involving our company has been commenced that is not discharged or dismissed prior to such trading day, and (v) the date on which a bankruptcy custodian is appointed for all or substantially all of our property or we make a general assignment for the benefit of creditors.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the right to terminate the Purchase Agreement at any time after Commencement, at no cost or penalty, upon 10 trading days’ prior written notice to B. Riley Principal Capital II. We and B. Riley Principal Capital II may also agree to terminate the Purchase Agreement by mutual written consent, provided that no termination of the Purchase Agreement will be effective during the pendency of any Market Open Purchase or any Intraday Purchase that has not then fully settled in accordance with the Purchase Agreement. Neither we nor B. Riley Principal Capital II may assign or transfer our respective rights and obligations under the Purchase Agreement or the Registration Rights Agreement, and no provision of the Purchase Agreement or the Registration Rights Agreement may be modified or waived by us or B. Riley Principal Capital 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As consideration for B. Riley Principal Capital II’s commitment to purchase shares of Common Stock at our direction upon the terms and subject to the conditions set forth in the Purchase Agreement, upon our execution of the Purchase Agreement, we (i) issued 40,000 Commitment Shares to B. Riley Principal Capital II, which Commitment Shares have a total aggregate value equal to 1.0% of B. Riley Principal Capital II’s $10,000,000 total aggregate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purchase commitment under the Purchase Agreement (each Commitment Share valued at $2.50 per share, representing the official closing price of the Common Stock on Nasdaq immediately preceding the execution of the Purchase Agreement) and (ii) agreed to pay B. Riley Principal Capital II the Cash Commitment Fee in the amount of $75,000, which is equal to 0.75% of B. Riley Principal Capital II’s $10,000,000 total aggregate purchase commitment under the Purchase Agreement, upon the settlement of the first purchase (whether such first purchase is a Market Open Purchase or Intraday Purchase), if any, that we direct B. Riley Principal Capital II to make under the Purchase Agreement. If we do not direct B. Riley Principal Capital II to make any Market Open Purchase or Intraday Purchase under the Purchase Agreement, or if the Commencement does not occur, then we have agreed to pay the $75,000 Cash Commitment Fee to B. Riley Principal Capital II within three trading days following the termination of the Purchase Agreement in accordance with its terms. Under the terms of the Purchase Agreement, in certain circumstances set forth in the Purchase Agreement, we may be required to pay B. Riley Principal Capital II up to $100,000 (or 1.0% of B. Riley Principal Capital II’s $10,000,000 aggregate purchase commitment under the Purchase Agreement), in cash, as a “make-whole” payment to the extent the aggregate amount of cash proceeds, if any, received by B. Riley Principal Capital II from the resale of the Commitment Shares offered for resale by this prospectus, prior to certain times set forth in the Purchase Agreement, is less than $100,000, in exchange for B. Riley Principal Capital II returning to us for cancelation all of the Commitment Shares we originally issued to B. Riley Principal Capital II upon execution of the Purchase Agreement that were not previously resold by B. Riley Principal Capital II prior to the times specified in the Purchase Agreement, if any. In addition, we have agreed to reimburse B. Riley Principal Capital II for the reasonable legal fees and disbursements of B. Riley Principal Capital II’s legal counsel in an amount not to exceed (i) $75,000 upon our execution of the Purchase Agreement and Registration Rights Agreement and (ii) $5,000 per fiscal quarter, in each case in connection with the transactions contemplated by the Purchase Agreement and the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engaged Seaport Global Securities LLC, a registered broker-dealer and FINRA member (“Seaport”), to act as a “qualified independent underwriter” in this offering. Upon the initial filing with the SEC of the registration statement that includes this prospectus, we paid Seaport (i) a cash fee of $50,000 as consideration for its services in connection with acting as the qualified independent underwriter in this offering and (ii) $5,000 as reimbursement for its expenses incurred in providing such services. Seaport will receive no other compensation for acting as the qualified independent underwriter in this offering. B. Riley Principal Capital II has agreed to reimburse us (or cause one of its affiliates to reimburse us) on the Commencement Date for the full amount of the cash fee and expense reimbursement we paid to Seaport in connection with acting as the qualified independent underwriter in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PS Std;serif" w:hAnsi="Times New Roman PS Std;serif"/>
          <w:b w:val="false"/>
          <w:i/>
          <w:caps w:val="false"/>
          <w:smallCaps w:val="false"/>
          <w:sz w:val="20"/>
          <w:bdr w:val="single" w:sz="8" w:space="10" w:color="000000"/>
        </w:rPr>
        <w:t>www.sec.gov.</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of the date of this prospectus, we cannot determine the actual purchase price per share that B. Riley Principal Capital II will be required to pay for any Purchase Shares that we may elect to sell to B. Riley Principal Capital II under the Purchase Agreement from and after Commencement and, therefore, we cannot be certain how many Purchase Shares, in the aggregate, we may issue and sell to B. Riley Principal Capital II under the Purchase Agreement from and after Commencement. As of January 2, 2024, there were 16,294,935 shares of our Common Stock outstanding, of which 10,532,103 shares were held by non-affiliates of our company. If all of the 3,249,360 shares offered for resale by B. Riley Principal Capital II under this prospectus were issued and outstanding as of the date hereof, such shares would represent approximately 16.6% of the total number of outstanding shares of Common Stock and approximately 23.6% of the total number of outstanding shares of Common Stock held by non-affiliates of our company, in each case as of January 2, 2024.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Although the Purchase Agreement provides that we may sell up to $10,000,000 of our Common Stock to B. Riley Principal Capital II, only 3,209,360 Purchase Shares (in addition to the 40,000 Commitment Shares, for which we have not and will not receive any cash consideration) are being registered under the Securities Act for resale by B. Riley Principal Capital II under the registration statement that includes this prospectus. If we were to issue and sell all of such 3,209,360 Purchase Shares to B. Riley Principal Capital II at an assumed purchase price per share of $2.53, representing the closing sale price of our Common Stock on Nasdaq on January 2, 2024, we would only receive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approximately $8,119,680 in aggregate gross proceeds from the sale of such Purchase Shares to B. Riley Principal Capital II under the Purchase Agreement. Depending on the market prices of our Common Stock on the Purchase Dates on which we elect to sell such Purchase Shares to B. Riley Principal Capital II under the Purchase Agreement, we may need to register under the Securities Act additional shares of our Common Stock for resale by B. Riley Principal Capital II which, together with the 3,209,360 Purchase Shares included in this prospectus, will enable us to issue and sell to B. Riley Principal Capital II such aggregate number of shares of Common Stock under the Purchase Agreement as will be necessary in order for us to receive aggregate proceeds equal to B. Riley Principal Capital II’s $10,000,000 maximum aggregate purchase commitment available to us under the Purchase Agreement.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we elect to issue and sell to B. Riley Principal Capital II more than the 3,249,360 shares of Common Stock being registered under the Securities Act for resale by B. Riley Principal Capital II under the registration statement that includes this prospectus (40,000 of which shares represent the Commitment Shares that we issued to B. Riley Principal Capital II upon execution of the Purchase Agreement on December 26, 2023, for which we have not and will not receive any cash consideration), which we have the right, but not the obligation, to do, we must first (i) obtain stockholder approval to issue shares of Common Stock in excess of the Exchange Cap under the Purchase Agreement in accordance with applicable Nasdaq rules and (ii) file with the SEC one or more additional registration statements to register under the Securities Act for the offer and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3,249,360 shares of Common Stock being registered for resale by B. Riley Principal Capital II under the registration statement that includes this prospectus could cause additional substantial dilution to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number of shares of Common Stock ultimately offered for resale by B. Riley Principal Capital II through this prospectus is dependent upon the number of shares of Common Stock, if any, we elect to sell to B. Riley Principal Capital II under the Purchase Agreement from and after the Commencement Date. The issuance of our Common Stock to B. Riley Principal Capital II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Investments in our securities involve substantial risk. The occurrence of one or more of the events or circumstances described in the section of this prospectus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It is not possible to predict the actual number of shares we will sell under the Purchase Agreement to the Selling Stockholder, or the actual gross proceeds resulting from those sales.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Investors who buy shares at different times will likely pay different prices.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Sales of a substantial number of our securities in the public market by our existing stockholders could cause the price of our shares of Common Stock to fall.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Our management team will have broad discretion over the use of the net proceeds from our sale of shares of Common Stock to the Selling Stockholder, if any, and you may not agree with how we use the proceeds and the proceeds may not be invested successfully.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We have incurred significant losses since inception and may not be able to achieve significant revenues or profitability.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We are devoting substantially all of our efforts towards research and development of our DeepView System.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We depend on government funding, which if lost or reduced, could have a material adverse effect on our research and development activities and our ability to commercialize our DeepView technology.    Our largest contract is with BARDA and is the largest single source of revenue for us. Our BARDA contract is not guaranteed to be extended.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regulatory review process is expensive, time-consuming, and uncertain and we may be unable to obtain clearance, approval, De Novo classification, or certification for our DeepView technology.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We may experience significant delays in completing clinical trials, which could prevent or significantly delay our targeted product launch timeframe and impair our viability and business plan.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ongoing labor shortage may limit our ability or the investigators’ ability to find and retain medical staff that are needed to conduct the clinical studies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Modifications to our DeepView GEN 3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We must comply with anti-kickback, fraud and abuse, false claims, transparency, and other healthcare laws and regulations.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If our manufacturers fail to comply with the regulatory quality system regulations or any applicable equivalent regulations, our proposed operations could be interrupted, and our operating results would suffer.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Actual or perceived failure to comply with data protection, privacy and security laws, regulations, standards and other requirements could negatively affect our business, financial condition or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As the regulatory framework for AI technology evolves, our business, financial condition and results of operation may be adversely affected.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If we are unable to establish sales, marketing and distribution capabilities either on our own or in collaboration with third parties, we may not be successful in commercializing our DeepView System, if approved.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We may not be able to achieve or maintain satisfactory pricing and margins for our DeepView technology.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We will depend upon third-party</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suppliers, including contract manufacturers and single and sole source suppliers, making us vulnerable to supply shortages and price fluctuations that could negatively affect our business,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We may encounter difficulties in managing our growth, which could disrupt our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We are highly dependent on our senior management, directors and key personnel, and our business could be harmed if we are unable to attract and retain personnel necessary for our success.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use of artificial intelligence, including machine learning, in our analytics platforms may result in reputational harm or liability.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Product liability suits, whether or not meritorious, could be brought against us due to an alleged defective product or for the misuse of our DeepView System. These suits could result in expensive and time-consuming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litigation, payment of substantial damages, and an increase in our insurance rates.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success of our algorithms depends on our significant repository of proprietary DFU and burn data.</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Changes in patent law or its interpretation could diminish the value of patents in general, thereby impairing our ability to protect our existing and future products.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Our patent rights and other intellectual property may be subject to priority, ownership or inventorship disputes, interferences, and similar proceedings and we may not be able to enforce our intellectual property rights throughout the world.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Nasdaq may delist our securities from trading on its exchange, which could limit investors’ ability to make transactions in our securities and subject us to additional trading restrictions.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We will incur increased costs as a result of operating as a public company, and the Company’s management will be required to devote substantial time to new compliance and investor relations initiatives.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Anti-takeover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provisions in our governing documents and under Delaware law could make an acquisition of us more difficult.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price of Common Stock and Warrants may be volatile.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Changes in laws, regulations or rules, or a failure to comply with any laws, regulations or rules, may adversely affect our business, investments and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Certain existing stockholders purchased, or may purchase, securities in the Company at a price below the current trading price of such securities and may experience a positive rate of return based on the current trading price. Future investors in the Company may not experience a similar rate of return.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Warrants will become exercisable for Company common stock, which would increase the number of shares eligible for resale in the public market and result in dilution to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Emerging Growth Company and Smaller Reporting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option to present only two years of audited financial statements and only two years of related “</w:t>
      </w:r>
      <w:r>
        <w:rPr>
          <w:rFonts w:ascii="Times New Roman PS Std;serif" w:hAnsi="Times New Roman PS Std;serif"/>
          <w:b w:val="false"/>
          <w:i/>
          <w:caps w:val="false"/>
          <w:smallCaps w:val="false"/>
          <w:sz w:val="20"/>
          <w:bdr w:val="single" w:sz="8" w:space="10" w:color="000000"/>
        </w:rPr>
        <w:t>Management’s Discussion and Analysis of Financial Condition and Results of Operations</w:t>
      </w:r>
      <w:r>
        <w:rPr>
          <w:rFonts w:ascii="Times New Roman PS Std;serif" w:hAnsi="Times New Roman PS Std;serif"/>
          <w:b w:val="false"/>
          <w:i w:val="false"/>
          <w:caps w:val="false"/>
          <w:smallCaps w:val="false"/>
          <w:sz w:val="20"/>
          <w:bdr w:val="single" w:sz="8" w:space="10" w:color="000000"/>
        </w:rPr>
        <w:t>” in this 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 being required to comply with the auditor attestation requirements of Section 404 of the Sarbanes-Oxley Act of 2002, as amended (the “Sarbanes-Oxley Act”);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reduced disclosure obligations regarding executive compensation in our periodic reports, proxy statements and registration statements; and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JOBS Act provides that an emerging growth company can take advantage of an extended transition period to comply with new or revised accounting standards. We have elected to use the extended transition period to comply with new or revised accounting standards. As a result of this election, our financial statements may not be comparable to companies that comply with public company effective 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also a “smaller reporting company” as defined by Rule 12b-2 of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were incorporated in Delaware on November 17, 2020, under the name Rosecliff Acquisition Corp I, in order to effectuate a merger, capital stock exchange, asset acquisition, stock purchase, reorganization or similar business combination with one or more businesses. RCLF completed its initial public offering on February 11, 2021. On September 11, 2023, RCLF and Legacy Spectral consummated the transactions contemplated by the Business Combination Agreement. On the Closing Date, RCLF changed its name to Spectral AI,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mailing address of our principal executive office is 2515 McKinney Avenue, Suite 1000, Dallas, Texas 75201, and our telephone number is (972) 499-4934.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9" w:name="T16"/>
      <w:bookmarkEnd w:id="9"/>
      <w:r>
        <w:rPr>
          <w:rFonts w:ascii="Times New Roman PS Std;serif" w:hAnsi="Times New Roman PS Std;serif"/>
          <w:b/>
          <w:i w:val="false"/>
          <w:caps w:val="false"/>
          <w:smallCaps w:val="false"/>
          <w:sz w:val="20"/>
          <w:bdr w:val="single" w:sz="8" w:space="10" w:color="000000"/>
        </w:rPr>
        <w:t>THE OFFERING</w:t>
      </w:r>
    </w:p>
    <w:tbl>
      <w:tblPr>
        <w:tblW w:w="10205" w:type="dxa"/>
        <w:jc w:val="left"/>
        <w:tblInd w:w="0" w:type="dxa"/>
        <w:tblLayout w:type="fixed"/>
        <w:tblCellMar>
          <w:top w:w="0" w:type="dxa"/>
          <w:left w:w="0" w:type="dxa"/>
          <w:bottom w:w="0" w:type="dxa"/>
          <w:right w:w="0" w:type="dxa"/>
        </w:tblCellMar>
      </w:tblPr>
      <w:tblGrid>
        <w:gridCol w:w="1958"/>
        <w:gridCol w:w="146"/>
        <w:gridCol w:w="8101"/>
      </w:tblGrid>
      <w:tr>
        <w:trPr/>
        <w:tc>
          <w:tcPr>
            <w:tcW w:w="195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Common Stock offered by the Selling Stockholder</w:t>
            </w:r>
          </w:p>
        </w:tc>
        <w:tc>
          <w:tcPr>
            <w:tcW w:w="146" w:type="dxa"/>
            <w:tcBorders/>
          </w:tcPr>
          <w:p>
            <w:pPr>
              <w:pStyle w:val="TableContents"/>
              <w:bidi w:val="0"/>
              <w:spacing w:before="0" w:after="283"/>
              <w:jc w:val="left"/>
              <w:rPr/>
            </w:pPr>
            <w:r>
              <w:rPr/>
              <w:t> </w:t>
            </w:r>
          </w:p>
        </w:tc>
        <w:tc>
          <w:tcPr>
            <w:tcW w:w="810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Up to 3,249,360 shares of Common Stock consisting of:</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40,000 Commitment Shares that we issued to B. Riley Principal Capital II in connection with the execution of the Purchase Agreement on December 26, 2023, as partial consideration for its commitment to purchase shares of Common Stock at our direction under the Purchase Agreement, for which we have not and will not receive any cash consideration; and</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3,209,360 Purchase Shares that we may elect, in our sole discretion, elect to sell to B. Riley Principal Capital II from time to time from and after the Commencement Date pursuant to the Purchase Agreement.</w:t>
            </w:r>
          </w:p>
        </w:tc>
      </w:tr>
      <w:tr>
        <w:trPr/>
        <w:tc>
          <w:tcPr>
            <w:tcW w:w="195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Common Stock outstanding prior to this offering</w:t>
            </w:r>
          </w:p>
        </w:tc>
        <w:tc>
          <w:tcPr>
            <w:tcW w:w="146" w:type="dxa"/>
            <w:tcBorders/>
          </w:tcPr>
          <w:p>
            <w:pPr>
              <w:pStyle w:val="TableContents"/>
              <w:bidi w:val="0"/>
              <w:spacing w:before="0" w:after="283"/>
              <w:jc w:val="left"/>
              <w:rPr/>
            </w:pPr>
            <w:r>
              <w:rPr/>
              <w:t> </w:t>
            </w:r>
          </w:p>
        </w:tc>
        <w:tc>
          <w:tcPr>
            <w:tcW w:w="810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16,294,935 shares of Common Stock (as of January 2, 2024 and includes the Commitment Shares).</w:t>
            </w:r>
          </w:p>
        </w:tc>
      </w:tr>
      <w:tr>
        <w:trPr/>
        <w:tc>
          <w:tcPr>
            <w:tcW w:w="195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Shares of Common Stock outstanding immediately after giving effect to the issuance of the shares registered </w:t>
              <w:br/>
              <w:t>hereunder</w:t>
            </w:r>
          </w:p>
        </w:tc>
        <w:tc>
          <w:tcPr>
            <w:tcW w:w="146" w:type="dxa"/>
            <w:tcBorders/>
          </w:tcPr>
          <w:p>
            <w:pPr>
              <w:pStyle w:val="TableContents"/>
              <w:bidi w:val="0"/>
              <w:spacing w:before="0" w:after="283"/>
              <w:jc w:val="left"/>
              <w:rPr/>
            </w:pPr>
            <w:r>
              <w:rPr/>
              <w:t> </w:t>
            </w:r>
          </w:p>
        </w:tc>
        <w:tc>
          <w:tcPr>
            <w:tcW w:w="810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br/>
              <w:br/>
              <w:t>19,504,295 shares of Common Stock</w:t>
            </w:r>
          </w:p>
        </w:tc>
      </w:tr>
      <w:tr>
        <w:trPr/>
        <w:tc>
          <w:tcPr>
            <w:tcW w:w="195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10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resale of shares of Common Stock included in this prospectus by B. Riley Principal Capital II. However, we may receive up to $10,000,000 in aggregate gross proceeds under the Purchase Agreement from sales of Common Stock that we may elect to make to B. Riley Principal Capital II pursuant to the Purchase Agreement, if any, from time to time in our sole discretion, from and after the Commencement Date.</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the net proceeds that we receive from sales of our Common Stock to B. Riley Principal Capital II, if any, under the Purchase Agreement for investment in growth and general corporate purposes. We have not yet determined the amount of net proceeds to be used specifically for any of the foregoing purposes. Accordingly, we retain broad discretion over the use of the net proceeds from the sale of our common stock under the Purchase Agreement. The precise amount and timing of the application of such proceeds will depend upon our liquidity needs and the availability and cost of other capital over which we have little or no control. As of the date hereof, we cannot specify with certainty the particular uses for the net proceeds. See the section titled “Use of Proceeds.”</w:t>
            </w:r>
          </w:p>
        </w:tc>
      </w:tr>
      <w:tr>
        <w:trPr/>
        <w:tc>
          <w:tcPr>
            <w:tcW w:w="195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10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carefully read the section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12 of this prospectus and the other information included in this prospectus for a discussion of factors you should consider carefully before deciding to invest in our Common Stock.</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26"/>
        <w:gridCol w:w="146"/>
        <w:gridCol w:w="9133"/>
      </w:tblGrid>
      <w:tr>
        <w:trPr/>
        <w:tc>
          <w:tcPr>
            <w:tcW w:w="92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Conflict of Interest</w:t>
            </w:r>
          </w:p>
        </w:tc>
        <w:tc>
          <w:tcPr>
            <w:tcW w:w="146" w:type="dxa"/>
            <w:tcBorders/>
          </w:tcPr>
          <w:p>
            <w:pPr>
              <w:pStyle w:val="TableContents"/>
              <w:bidi w:val="0"/>
              <w:spacing w:before="0" w:after="283"/>
              <w:jc w:val="left"/>
              <w:rPr/>
            </w:pPr>
            <w:r>
              <w:rPr/>
              <w:t> </w:t>
            </w:r>
          </w:p>
        </w:tc>
        <w:tc>
          <w:tcPr>
            <w:tcW w:w="913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Riley Principal Capital II, LLC is an affiliate of B. Riley Securities, Inc. (“BRS”), a registered broker-dealer and FINRA member. BRS will act as an executing broker that will effectuate resales of our Common Stock that have been and may be acquired by B. Riley Principal Capital II from us pursuant to the Purchase Agreement to the public in this offering.</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B. Riley Principal Capital II will receive all the net proceeds from such resales of our Common Stock made to the public through BRS, BRS is deemed to have a “conflict of interest” within the meaning of Financial Industry Regulatory Authority, Inc. (“FINRA”) Rule 5121. Consequently, this offering will be conducted in compliance with the provisions of FINRA Rule 5121, which requires that a “qualified independent underwriter,” as defined in FINRA Rule 5121, participate in the preparation of the registration statement that includes this prospectus and exercise the usual standards of “due diligence” with respect thereto. Accordingly, we have engaged Seaport, to be the qualified independent underwriter in this offering and, in such capacity, participate in the preparation of the registration statement that includes this prospectus and exercise the usual standards of “due diligence” with respect thereto. Upon the initial filing with the SEC of the registration statement that includes this prospectus, we paid Seaport (i) a cash fee of $50,000 as consideration for its services in connection with acting as the qualified independent underwriter in this offering and (ii) $5,000 as reimbursement for its expenses incurred in providing such services. Seaport will receive no other compensation for acting as the qualified independent underwriter in this offering. B. Riley Principal Capital II has agreed to reimburse us (or cause one of its affiliates to reimburse us) on the Commencement Date for the full amount of the cash fee and expense reimbursement we paid to Seaport in connection with acting as the qualified independent underwriter in this offering. In accordance with FINRA Rule 5121, BRS is not permitted to sell shares of our Common Stock in this offering to an account over which it exercises discretionary authority without the prior specific written approval of the account holder. See “Plan of Distribution (Conflict of Interest).”</w:t>
            </w:r>
          </w:p>
        </w:tc>
      </w:tr>
      <w:tr>
        <w:trPr/>
        <w:tc>
          <w:tcPr>
            <w:tcW w:w="92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symbol for our Common Stock</w:t>
            </w:r>
          </w:p>
        </w:tc>
        <w:tc>
          <w:tcPr>
            <w:tcW w:w="146" w:type="dxa"/>
            <w:tcBorders/>
          </w:tcPr>
          <w:p>
            <w:pPr>
              <w:pStyle w:val="TableContents"/>
              <w:bidi w:val="0"/>
              <w:spacing w:before="0" w:after="283"/>
              <w:jc w:val="left"/>
              <w:rPr/>
            </w:pPr>
            <w:r>
              <w:rPr/>
              <w:t> </w:t>
            </w:r>
          </w:p>
        </w:tc>
        <w:tc>
          <w:tcPr>
            <w:tcW w:w="9133"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MDAI”</w:t>
            </w:r>
          </w:p>
        </w:tc>
      </w:tr>
    </w:tbl>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u w:val="single"/>
          <w:bdr w:val="single" w:sz="8" w:space="10" w:color="000000"/>
        </w:rPr>
      </w:pPr>
      <w:r>
        <w:rPr>
          <w:rFonts w:ascii="Times New Roman PS Std;serif" w:hAnsi="Times New Roman PS Std;serif"/>
          <w:b w:val="false"/>
          <w:i w:val="false"/>
          <w:caps w:val="false"/>
          <w:smallCaps w:val="false"/>
          <w:sz w:val="20"/>
          <w:u w:val="single"/>
          <w:bdr w:val="single" w:sz="8" w:space="10" w:color="000000"/>
        </w:rPr>
        <w:t>The number of shares of Common Stock outstanding is based on 16,294,935 shares of Common Stock as of January 2, 2024 and excludes the following, in each case as of January 2, 2024, except as otherwise noted: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3,594,581 shares of our Common Stock issuable upon the exercise of outstanding options under the 2018 Long Term Incentive Plan and the 2022 Long Term Incentive Plan, with a weighted average exercise price of $2.22 per share;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73,978 shares of our Common Stock issuable upon the exercise of 73,978 Warrants, with an exercise price of $7.60 per share;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47,036 shares of our Common Stock reserved for future issuance under the 2018 Long Term Incentive Plan and 1,792,918 shares of our Common Stock reserved for future issuance under the 2022 Long Term Incentive Plan.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15"/>
      <w:bookmarkEnd w:id="10"/>
      <w:r>
        <w:rPr>
          <w:rFonts w:ascii="Times New Roman PS Std;serif" w:hAnsi="Times New Roman PS Std;serif"/>
          <w:b/>
          <w:i w:val="false"/>
          <w:caps w:val="false"/>
          <w:smallCaps w:val="false"/>
          <w:sz w:val="2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Investing in our securities involves risks. Before you make a decision to buy our securities, in addition to the risks and uncertainties discussed above under “Cautionary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the financial statements of the Company and notes to the financial statements included herein.</w:t>
      </w:r>
    </w:p>
    <w:p>
      <w:pPr>
        <w:pStyle w:val="TextBody"/>
        <w:keepNext w:val="true"/>
        <w:pageBreakBefore w:val="false"/>
        <w:widowControl/>
        <w:pBdr/>
        <w:bidi w:val="0"/>
        <w:spacing w:before="24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the context otherwise requires, all references in this section to “we,” “us,” or “our” refers to the Company and its subsidiaries.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is not possible to predict the actual number of shares we will sell under the Purchase Agreement to B. Riley Principal Capital II, or the actual gross proceeds resulting from those sales.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26, 2023, we entered into the Purchase Agreement with B. Riley Principal Capital II, pursuant to which B. Riley Principal Capital II has committed to purchase up to $10,000,000 of shares of our Common Stock, subject to certain limitations and conditions set forth in the Purchase Agreement. The shares of our Common Stock that may be issued under the Purchase Agreement may be sold by us to B. Riley Principal Capital II at our discretion from time to time for a period of up to 24 months, unless the Purchase Agreement is earlier terminated, beginning on the Commencement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generally have the right to control the timing and amount of any sales of our shares of Common Stock to B. Riley Principal Capital II under the Purchase Agreement. Sales of our Common Stock, if any, to B. Riley Principal Capital II under the Purchase Agreement will depend upon market conditions and other factors to be determined by us. We may ultimately decide to sell to B. Riley Principal Capital II all, some or none of the shares of our Common Stock that may be available for us to sell to B. Riley Principal Capital II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of the date of this prospectus, it is not possible for us to predict the number of shares of Common Stock that we will sell to B. Riley Principal Capital II under the Purchase Agreement, the purchase price per share that B. Riley Principal Capital II will pay for shares purchased from us under the Purchase Agreement, or the aggregate gross proceeds that we will receive from those purchases by B. Riley Principal Capital II under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the Purchase Agreement provides that we may sell up to an aggregate of $10,000,000 of our Common Stock to B. Riley Principal Capital II, only 3,249,360 shares of our Common Stock are being registered under the Securities Act for resale by B. Riley Principal Capital II under the registration statement that includes this prospectus, which include the 40,000 Commitment Shares that we issued to B. Riley Principal Capital II upon our execution of the Purchase Agreement on December 26, 2023, as partial consideration for its commitment to purchase shares of our Common Stock at our direction from time to time under the Purchase Agreement. If it becomes necessary for us to issue and sell to B. Riley Principal Capital II under the Purchase Agreement more than the 3,209,360 Purchase Shares being registered under the Securities Act for resale by B. Riley Principal Capital II under the registration statement that includes this prospectus in order to receive aggregate gross proceeds equal to $10,000,000 under the Purchase Agreement, we must first (i) obtain stockholder approval to issue shares of Common Stock in excess of the Exchange Cap under the Purchase Agreement in accordance with applicable Nasdaq rules and (ii) file with the SEC one or more additional registration statements to register under the Securities Act the resale by B. Riley Principal Capital II of any such additional shares of our Common Stock we wish to sell from time to time under the Purchase Agreement, which the SEC must declare effective, in each case before we may elect to sell any additional shares of our Common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to B. Riley Principal Capital II under the Purchase Agreement. Any issuance and sale by us under the Purchase Agreement of a substantial amount of shares of Common Stock in addition to the 3,249,360 shares of Common Stock being registered for resale by B. Riley Principal Capital II under this prospectus could cause additional substantial dilution to our stockholders. The number of shares of our Common Stock ultimately offered for sale by B. Riley Principal Capital II is dependent upon the number of shares of Common Stock, if any, we ultimately elect to sell to B. Riley Principal Capital II under the Purchase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Investors who buy shares at different times will likely pay different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Purchase Agreement, we will have discretion, subject to market demand, to vary the timing, prices, and numbers of shares sold to B. Riley Principal Capital II. If and when we do elect to sell shares of our Common Stock to B. Riley Principal Capital II pursuant to the Purchase Agreement, after B. Riley Principal Capital II has acquired such shares, B. Riley Principal Capital II may resell all, some or none of such shares at any time or from time to time in its discretion and at different prices. As a result, investors who purchase shares from B. Riley Principal Capital II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B. Riley Principal Capital II in this offering as a result of future sales made by us to B. Riley Principal Capital II at prices lower than the prices such investors paid for their shares in this offering. In addition, if we sell a substantial number of shares to B. Riley Principal Capital II under the Purchase Agreement, or if investors expect that we will do so, the actual sales of shares or the mere existence of our arrangement with B. Riley Principal Capital II may make it more difficult for us to sell equity or equity-related securities in the future at a time and at a price that we might otherwise wish to effect such sales.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of a substantial number of our securities in the public market by our existing stockholders could cause the price of our shares of Common Stock to fall.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Riley Principal Capital II can resell, under this prospectus, up to 3,249,360 shares of Common Stock, consisting of (i) up to 3,209,360 Purchase Shares that we may, in our sole discretion, elect sell to B. Riley Principal Capital II, from time to time from and after the Commencement Date (defined below) pursuant to the Purchase Agreement and (ii) the 40,000 Commitment Shares we issued to B. Riley Principal Capital II upon our execution of the Purchase Agreement on December 26, 2023, as partial consideration for its commitment to purchase shares of our Common Stock that we may, in our sole discretion, direct B. Riley Principal Capital II to purchase from us pursuant to the Purchase Agreement, from time to time after the date of this prospectus and during the term of the Purchase Agreement. If all of the 3,249,360 shares offered for resale by B. Riley Principal Capital II under this prospectus were issued and outstanding as of the date hereof, such shares would represent approximately 16.6% of the total number of outstanding shares of Common Stock and approximately 23.6% of the total number of outstanding shares of Common Stock held by non-affiliates of our company, in each case as of January 2,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a substantial number of our shares of Common Stock in the public market by B. Riley Principal Capital II and/or by our other existing stockholders, or the perception that those sales might occur, could depress the market price of our shares of Common Stock and could impair our ability to raise capital through the sale of additional equity securities</w:t>
      </w:r>
      <w:r>
        <w:rPr>
          <w:rFonts w:ascii="Times New Roman PS Std;serif" w:hAnsi="Times New Roman PS Std;serif"/>
          <w:b w:val="false"/>
          <w:i/>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management team will have broad discretion over the use of the net proceeds from our sale of shares of Common Stock to B. Riley Principal Capital II, if any, and you may not agree with how we use the proceeds and the proceeds may not be invested successfully.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team will have broad discretion as to the use of the net proceeds from our sale of shares of Common Stock to B. Riley Principal Capital II, if any, and we could use such proceeds for purposes other than those contemplated at the time of commencement of this offering. Accordingly, you will be relying on the judgment of our management team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team to use such funds effectively could have a material adverse effect on our business, financial condition, operating results and cash flows.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Financial Condition and Capital Requirements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incurred significant losses since inception and may not be able to achieve significant revenues or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substantial net losses since our inception. For the nine months ended September 30, 2023 and the year ended December 31 2022, on a consolidated basis (as if consolidated for the nine months ended September 30, 2023 and the year ended December 31, 2022), we incurred a net loss of $21.0 million and a net gain of $8.1 million, respectively, and on a consolidated basis our cash balance at September 30, 2023 was $7.3 million. We had an accumulated deficit of $29.2 million as of September 30, 2023. Our losses have resulted primarily from costs incurred in connection with our design, manufacturing and development activities, research and development activities, building our commercial infrastructure, legal, and general and administrative expenses associated with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the Company has $7.3 million of cash available as of September 30, 2023. On September 27, 2023, the Company executed a new contract with BARDA, providing the Company with additional funding of up to $149.9 million, including an initial award of approximately $55.0 million to support the clinical validation and FDA clearance of our DeepView System. The Company will utilize its existing cash balance and the initial award from BARDA for its near-term liquidity and operating needs. The Company believes that it has sufficient cash and revenue from its BARDA contract to support its operations until it is able to obtain equity or debt investments on terms acceptable to the Company to meet its expected operating cash-flow needs for its burn, DFU and other indication research and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know whether or when we will become profitable. Our ability to generate revenue and achieve profitability will depend upon our ability, alone or with others, to complete the development of our DeepView System, including receipt of the necessary regulatory clearances, approvals, or classifications and thereafter to successfully commercialize our DeepView System. We may be unable to achieve these goals. We may also encounter unforeseen expenses, difficulties, complications, delays and other known and unknown factors and risks frequently experienced by medical device companies in rapidly evolving fields. In addition, the Company’s ability to develop its DeepView System for multiple indications requires research and development costs that may exceed the Company’s current cash balance. The Company may need to seek additional equity or debt investments to meet its projected operating costs for the timely development of the DeepView System. To the extent additional capital is necessary, there are no assurances that we will be able to raise additional capital on favorable terms or at all, and therefore we may not be able to execute our business plan. In addition, as a U.S. public company, we will incur significant legal, accounting and other expenses. Accordingly, we expect to continue to incur significant operating losses for the foreseeable future and we cannot assure you that we will achieve profitability in the future or that, if we do become profitable, we will sustain profitability. Our failure to achieve and sustain profitability in the future will make it more difficult to finance the capital requirements needed to operate our business and accomplish our strategic objectives, which would have a material adverse effect on our business, financial condition and results of operations, and cause the market price of our common stock to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devoting substantially all of our efforts towards research and development of our DeepView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prospects, results of operations and financial condition depend upon our ability, alone or with others, to complete the development of our DeepView System, including receipt of the necessary regulatory clearances, approvals, or classifications and thereafter to successfully commercialize our DeepView System. In addition, though we are currently focused on the DFU and burn applications for DeepView, there are other pipeline applications that we are considering for future commercialization. However, we may be unable to achieve these goals. Approval or clearance from the FDA and comparable regulatory bodies may never be obtained. We also may encounter unforeseen expenses, difficulties, complications, delays and other known and unknown factors and risks frequently experienced by medical device companies in rapidly evolving fields. Our failure to receive the necessary approvals and clearances and to successfully commercialize our DeepView System would have a material adverse effect on our business, prospects,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 our business plan and pipeline depend on, and, as further described below, funding under many of our existing contracts depend on, and future contracts may also depend on, our ability to meet certain milestones or achieve certain timelines with our applications and indications. Our ability to achieve these depends on numerous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factors, including the factors described in this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section, many of which may not be within our control. Our inability to achieve our milestones and timelines could have a material adverse impact on our business, prospects,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depend on government funding, which if lost or reduced, could have a material adverse effect on our research and development activities and our ability to commercialize our DeepView technology. Our largest contract is with BARDA and is the largest single source of revenue for us. Our BARDA contract is not guaranteed to be extended.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made any commercial sales of our DeepView System. We receive almost all of our revenue from fixed fees and costs payable by BARDA, and to a lesser extent the Defense Health Agency (“DHA”) of the United States Department of Defense. We currently have agreements with each of BARDA and the DHA to support continued development of the next generation of our DeepView technology. While we believe we have very good working relationships with BARDA and DHA, the loss of one or both of our contracts with BARDA and DHA would have an adverse impact on our business, prospects, results of operations and financial condition. While we expect diversification of customers in future years, assuming we are able to obtain the necessary regulatory clearances, approvals, De Novo classifications, or certifications (each of which cannot be guaranteed and may take longer than planned) to commercialize our product, for the time being we are substantially dependent on funding from BARDA and DHA.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BARDA contract is the largest single source of revenue for us. On September 27, 2023, the Company executed a new contract with BARDA, providing the Company with additional funding of up to $149.9 million, including an initial award of approximately $55.0 million to support the clinical validation and FDA clearance of our DeepView System, in place of the prior contract Option 2 award which was approximately $22.0 million. This will include the distribution of up to 30 DeepView Systems in various emergency rooms and burn centers to support the clinical validation study and to transition the use of our DeepView System to being used routinely upon FDA clearance. The contract also includes options, similar to our prior BARDA contracts, with an additional total value of approximately $95.0 million which can be exercised for additional product development, procurement and the expanded deployment of DeepView Systems at emergency rooms, trauma and burn centers. These deployments will enable the Company to conduct health economic and outcome research to support the broader clinical adoption of the DeepView System. The Company is also completing work on the Option 1B of its prior contract award relating to our Burn Training study, which was extended through December 31, 2023 upon which the Company will receive approximately $2.0 million of additional funding. While we currently have no reason to believe that we will fail to achieve these contract milestones and decision gates or that these further options will not be exercised, and while the BARDA contract has been renewed or extended historically, there is no guarantee that the BARDA contract will be renewed or extended in the future, and there are no assurances that we will achieve the contract milestones and decision gates on a timely basis, or at all. As the BARDA contract is significant to us and is our largest single source of revenue, a decision by BARDA not to exercise further options would have a material adverse impact on our business, prospects,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BARDA contract, the U.S. government has the right to terminate the contract for convenience or to terminate for default if we fail to meet our obligations as set forth in the contract. While the government has a right to terminate the BARDA contract for convenience, we believe that the government generally does not terminate funding awards unless there is reason, such as the funding contract becomes too costly, the agency seeks to avoid a dispute with another branch of government, or the agency decides to restructure its contractual arrangements and perform work in-house. We believe it is unlikely that BARDA will terminate its contract with us. However, there can be no guarantee that the BARDA contract will not be terminated.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BARDA were to terminate its contract with us, we may be entitled to settlement costs for payment for work already performed, but not yet paid, including costs incurred in anticipation of performance, and costs arising from termination and settling the termination, for example. However, as the BARDA contract is critical to our business at this time, non-extension or termination of the BARDA contract would have a material adverse impact on our business, prospects,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23, 2021, we were awarded a $1.1 million, Sequential Phase II STTR contract by the DHA within the U.S. Department of Defense, which is paid to us on a monthly basis. This funding enables us to research and develop a fully portable, handheld version of our DeepView solution and has been extended through the end of 2023. We were previously awarded a STTR Phase I and initial Phase II contract from the DHA.</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our current contract with DHA, the Company is required to provide monthly reports and one final technical report at the end of the contract term. The Company is allowed to advance the development of the research from this contract with the FDA, provided the Company shares all communication, both formal and informal, to or from FDA regarding the technology being developed under this contract with the DHA and its representatives are permitted to participate in any sponsor meetings both formal and informal with the FDA upon request. In addition, the Company is entitled to maintain ownership of the inventions generated from the contract in accordance with the terms contained in the DHA award.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Though the Company has no reason to believe that it will not be offered a Phase III contract, and while DHA contracts have been renewed or extended historically, there is no guarantee that the contract will be extended after the current period or that we will be offered a Phase III contract. As this contract is a key contract for the Company, non-extension of the contract, or a failure to enter into a new contract, would have a material adverse impact on the Company’s business, prospects, results of operations and financial condition. Under the terms of the DHA contract, the U.S. government has the right to terminate the contract for convenience or to terminate for default if we fail to meet our obligations as set forth in the contract.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are party to a Research Project Award agreement with the Advanced Technology International as Consortium Manager for MTEC. This agreement extends the DHA Phase II contract for the development of the handheld device of the DeepView System. Under the terms of this agreement, MTEC will pay us a firm fixed fee based upon our achievement of certain milestones (such as development of the image technology in the handheld device, validation of the design and development of a handheld device from the current cart based system, completion of verification testing builds, and development of commercialization plan) through April 5, 2025. However, there are no assurances that we will achieve the contract milestones on a timely basis, or at all. Failure to receive the fee under the contract could have a material adverse impact on the Company’s business, prospects,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BARDA contract, we represented that we are a small business concern under NAICS Code 541714 (“Research and Development in Biotechnology”). We are also registered with the FDA as a small business, based on self-assessment. For this representation to continue to be accurate, we would have to continue to comply with the small business size standards published by the U.S. Small Business Association for NAICS Code 541714. If we were to grow beyond 1,000 employees as a result of an expansion or any acquisition, we would no longer qualify as a small business concern; this could threaten our ability to maintain the BARDA contract.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need additional funding to finance our planned operations, and may not be able to raise capital when needed, which could force us to delay clinical trials necessary to market our products or delay establishment of sales and marketing capabilities or other activities necessary to commercialize our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2023, on a consolidated basis, we had $7.3 million in cash and cash equivalents, and an accumulated deficit of $29.2 million. Based on our current operating plan, we believe that our cash and cash equivalents, together with the remaining funding available to us under the BARDA contract, will be sufficient to meet our capital requirements and fund our operations through at least the next 12 months from the release date of the consolidated financial statements included in this prospectus. However, we have based these estimates on assumptions that may prove to be wrong, and we could utilize our available capital resources sooner than we currently expect. Changing circumstances could cause us to consume capital significantly faster than we currently anticipate, and we may need to raise capital sooner or in greater amounts than currently expected because of circumstances beyond our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require additional capital in the future to fund our operating expenses and to further our product development efforts, including seeking the necessary regulatory clearances, approvals, De Novo classifications, or certifications (each which cannot be guaranteed and may take longer than planned) for our DeepView System and growing our sales and marketing organization. Moreover, we expect to incur additional expenses associated with operating as a U.S. public company, including legal, accounting, insurance, exchange listing and SEC compliance, investor relations and other expenses. To the extent additional capital is necessary, there are no assurances that we will be able to raise additional capital on favorable terms or at all, and therefore we may not be able to execute our business plan. Our future funding requirements will depend on many factors,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our research and development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scope, rate of progress and cost of our clinical studies;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and timing of additional regulatory clearances, approvals, De Novo classifications, or certifications;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degree and rate of market acceptance of our DeepView System, assuming we receive the necessary regulatory clearances, approvals, De Novo classifications, or certifications (each of which cannot be guaranteed and may take longer than planned);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scope and timing of investment in our sales force and expansion of our commercial organization;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associated with manufacturing our DeepView System at increased production levels;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and timing of any collaborative, licensing and other arrangements that we may establish;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associated with any product recall that may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of attaining, defending and enforcing our intellectual property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emergence of competing new products or technologies or other adverse market developments;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on our business from the global COVID-19 pandemic or any other pandemic, epidemic or outbreak of an infectious disease.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rights related to our products or technologies that we otherwise would seek to develop or commercialize ourselves. In addition, we may be forced to work with a partner, which could lower the economic value of our programs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obtain adequate financing on terms satisfactory to us when we require it, we may be required to terminate or delay the development of our DeepView technology or any future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Product Development and Regulatory Review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regulatory review process is expensive, time-consuming, and uncertain and we may be unable to obtain clearance, approval, De Novo classification, or certification for our DeepView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research, design, testing, manufacturing, labeling, selling, marketing and distribution of medical devices are subject to extensive regulation by country-specific regulatory authorities, which regulations differ from country to country.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received 510(k) clearance from the FDA for previous generations of our DeepView technology, as further described in the section titled “Business” starting on page 88 of this prospectus, and we believe that our BDD status for burn indication, and clinical partners with regulatory experience who have been identified in Europe, will assist us in securing the required regulatory clearances, approvals, or De Novo classifications for our third generation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DeepView System (“DeepView GEN 3 System”). However, there is no guarantee that our DeepView GEN 3 System or any future products will receive the requisite market authorization, approval, or De Novo classification for clinical testing, manufacturing, or marketing. While preliminary results have been encouraging and indicative of the potential performance of our DeepView GEN 3 System, data already obtained, or obtained in the future, from clinical studies do not necessarily predict the results that will be obtained from later clinical studies. We will be required to incur significant costs in obtaining market authorization, or De Novo classifications for our DeepView GEN 3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before we can market a new medical device, or a new use of, new claim for or significant modification to an existing product, we must first receive 510(k) clearance, approval of a pre-market approval application (“PMA”) or be granted De Novo classification pursuant to the Federal Food, Drug, and Cosmetic Act (the “FDCA”),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The De Novo classification process is available for novel devices of low to moderate risk, for which there are no legally marketed devices on which to base the substantial equivalence determination, or after the applicant receives a not-substantially-equivalent decision from FDA in response to a 510(k) application. This petition requests the FDA down-classify a new device from a Class III to a Class II regulation. Should the De Novo classification request be declined, the device, as a Class III device, would require pursuit of a PMA under Section 515 of the FDCA, requiring additional time and expense. Oftentimes the length of the time and expense are prohibitively long and high, respectively, and it may be impractical or impossible to pursue the PMA regulatory route should our De Novo request be denied.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sell our device in member states of the European Union (“EU”), the device must also comply with the general safety and performance requirements of the EU Medical Devices Regulation (Regulation (EU) No 2017/745). Compliance with these requirements is a prerequisite to be able to affix the CE mark to our device, without which it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any risks which may be associated with their use constitute acceptable risks when weighed against the benefits to the patient and are compatible with a high level of protection of health and safety, taking into account the generally acknowledged state of the 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demonstrate compliance with the general safety and performance requirements we must undergo a conformity assessment procedure, which varies according to the type of medical device and its risk classification. Except for low-risk medical devices (Class I), where the manufacturer can self-assess to the conformity of its products with the general safety and performance requirements (except for any parts which relate to sterility, metrology or reuse aspects), a conformity assessment procedure requires the intervention of a notified body. See “Business — Government Regulation — Regulation of Medical Devices in the European Union.”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market authorization, approval, De Novo classification, or certification by any regulatory authority does not ensure marketing authorization or similar registration, clearance, approval, or certification by regulatory authorities in other countries. However, failure to obtain or delay in obtaining authorization, registration, clearance, approval, or certification in one or more regulatory jurisdictions may have a negative effect on the regulatory process in others.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experience significant delays in completing clinical trials, which could prevent or significantly delay our targeted product launch timeframe and impair our viability and business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any clinical trials of our DeepView System, or other studies that we may be required to undertake in the future, could be delayed, suspended or terminated for several reasons,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fail to or be unable to conduct the clinical trials in accordance with regulatory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selection and onboarding of clinical sites or a Contract Research Organization (“CRO”) may take longer than anticipated;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sites participating in a clinical trial may drop out of the trial, which may require us to engage new sites for an expansion of the number of sites that are permitted to be involved in the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patients may not enroll in, remain in or complete, clinical trials at the rates we expect;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events or unexpected developments may occur that affect the patients’ safety;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supply issues may prevent us from continuing to use our investigational devices in clinical evaluations;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investigators may not perform our clinical trials on our anticipated schedule or consistent with the clinical trial protocol and good clinical practices.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FDA, applicable foreign regulatory entities or notified body can delay, limit or deny clearance, approval, De Novo classification, with regards to the US, or certification of a device for many reasons,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inability to demonstrate to the satisfaction of the FDA or the applicable regulatory entity or notified body that our products are (i) substantially equivalent, in the case of a 510(k) clearance, (ii) safe or effective for their intended uses, in the case of a PMA, or (iii) that general controls alone or general and special controls together provide reasonable assurance of safety and effectiveness for the intended use, in the case of De Novo classification;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disagreement of the FDA or the applicable foreign regulatory body with the design or implementation of our clinical trials (including, for purposes of the EU, clinical investigations) or the interpretation of data from pre-clinical studies or clinical trials, as applicable and to the extent required to support marketing authorization or certification;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inability to demonstrate that the clinical and other benefits of the device outweigh the risks;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manufacturing process or facilities we use may not meet applicable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unanticipated discovery of issues that relate to safety or effectiveness of the device during or after the regulatory review process;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for policies or regulations of the FDA or applicable foreign regulatory bodies to change significantly in a manner rendering our clinical data, as applicable, and/or regulatory filings insufficient for market authorization, De Novo classification, or certification.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clinical trials are delayed, it will take us longer to ultimately launch our DeepView System in the market and generate revenues. Moreover, our development costs will increase if we have material delays in our clinical trials or if we need to perform more or larger clinical trials than planned.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third parties on which we rely to conduct our clinical trials, to assist us with pre-clinical development or to prepare our regulatory submissions do not perform as contractually required or expected, we may not be able to obtain market authorization, De Novo classification, certification or other required regulatory authorizations or certifications to commercialize our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do not have the ability to independently conduct all of our pre-clinical and clinical trials for our DeepView System and to prepare the associated regulatory submissions without the participation of third-party research hospitals, burn and wound centers. We must rely on third parties such as CROs, medical institutions and clinical investigators to conduct such trials. If these third parties do not successfully carry-out their contractual duties 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comply with regulatory obligations, including compliance with Good Clinical Practice (“GCP”) requirements or meet expected deadlines, if these third parties need to be replaced, if the quality or accuracy of the data they obtain is compromised due to a failure to adhere to our clinical protocols or regulatory requirements or for other reasons, or if the prepared regulatory submission does not meet the regulatory agencies’ expectations or requirements, our pre-clinical development activities or clinical trials may be extended, delayed, suspended or terminated. Furthermore, our third-party clinical trial investigators may be delayed in conducting our clinical trials for reasons outside of their control, including the COVID-19 pandemic, or another pandemic, epidemic or outbreak of an infectious disease. In the event of such extensions, delays, suspensions or terminations, we may not be able to obtain market authorization, De Novo classification, certification or other required regulatory authorizations or certifications for, or successfully commercialize, our DeepView System on a timely basis, if at all, and our business, financial condition and results of operations may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legislation is drafted and introduced in the legislative bodies of the countries in which we intend to sell our DeepView System, assuming we receive the necessary regulatory clearance, approval, De Novo classification, or certification to revise the process for market authorization, De Novo classification, certification, manufacture and marketing of regulated products or the reimbursement thereof. In addition, regulations and guidance are often revised or reinterpreted by the applicable competent authority in ways that may significantly affect our business and our products. For example,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In November 2018, FDA officials announced forthcoming steps that the FDA intended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2019, the FDA finalized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has developed and maintains a list of device types appropriate for the “safety and performance based” pathway and announced that it intends to continue to develop product-specific guidance documents that identify the performance criteria for each such device type, as well as the testing methods recommended in the guidance documents, where feasible. The FDA may establish performance criteria for classes of devices for which we or our competitors seek or currently have received clearance, and it is unclear the extent to which such performance standards, if established, could impact our ability to obtain 510(k) clearance or otherwise create competition that may negatively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2021, the FDA issued a final rule on the De Novo classification process, which became effective on January 3, 2022. The rule explains when the De Novo classification route may be available to applicants, and what information should be included in the request so that the FDA can determine whether to grant the De Novo classification request. This includes, for example, the device’s regulatory history, proposed indications for use, device description, labeling, advertisements, and information demonstrating that when subject to general controls, or general and special controls, the probable benefit to health outweighs any probable injury or illness from such use. The FDA will grant the De Novo classification request if none of the reasons in the regulations for declining a De Novo request applies to the product at issue, including that the request includes false information or omits material information, the device has already been classified under a PMA, or an inspection of the device facility results in a determination that general or general and special controls would not provide reasonable assurance of safety and effectiveness.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regulations and guidance are often revised or reinterpreted by the FDA in ways that may significantly affect our business. Any new statutes or regulations or revisions or reinterpretations of existing statutes or regulations may impose additional costs or lengthen review times or make it more difficult to obtain clearance, approval, or De Novo classification for, or to manufacture, market or distribute our DeepView System. We cannot determine what effect changes in regulations, statutes, legal interpretation or policies, when and if promulgated, enacted or adopted may have on our business. Such changes could, among other things, require: additional testing prior to obtaining clearance, approval, or De Novo classification; changes to manufacturing methods; recall, replacement or discontinuance of our products; or additional record keeping.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FDA’s and other regulatory authorities’ policies may change and additional government regulations may be promulgated that could prevent, limit or delay regulatory clearance, approval, or De Novo classification of our DeepView System.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clearance, approval, or De Novo classification that we may have obtained and we may not achieve or sustain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landscape concerning medical devices in the EU has evolved in recent years. On May 25, 2017, the EU Medical Devices Regulation entered into force, which repeals and replaces the EU Medical Devices Directive and the Active Implantable Medical Devices Directive. The Medical Devices Regulation, among other things, is intended to establish a uniform, transparent, predictable and sustainable regulatory framework across the EU for medical devices and ensure a high level of safety and health while supporting innovation.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EU Medical Devices Regulation entered into application on May 26, 2021. The new regulation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strengthens the rules on placing devices on the market (</w:t>
      </w:r>
      <w:r>
        <w:rPr>
          <w:rFonts w:ascii="Times New Roman PS Std;serif" w:hAnsi="Times New Roman PS Std;serif"/>
          <w:b w:val="false"/>
          <w:i/>
          <w:caps w:val="false"/>
          <w:smallCaps w:val="false"/>
          <w:sz w:val="20"/>
        </w:rPr>
        <w:t>e.g</w:t>
      </w:r>
      <w:r>
        <w:rPr>
          <w:rFonts w:ascii="Times New Roman PS Std;serif" w:hAnsi="Times New Roman PS Std;serif"/>
          <w:b w:val="false"/>
          <w:i w:val="false"/>
          <w:caps w:val="false"/>
          <w:smallCaps w:val="false"/>
          <w:sz w:val="20"/>
        </w:rPr>
        <w:t>., reclassification of certain devices and wider scope than the EU Medical Devices Directive) and reinforces surveillance once they are available;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establishes explicit provisions on manufacturers’ responsibilities for the follow up of the quality, performance and safety of devices placed on the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imposes an obligation to identify a responsible person who is ultimately responsible for all aspects of compliance with the requirements of the new regulation;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improves the traceability of medical devices throughout the supply chain to the end user or patient through the introduction of a unique device identification number, to increase the ability of manufacturers and regulatory authorities to trace specific devices through the supply chain and to facilitate the prompt and efficient recall of medical devices that have been found to present a safety risk;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sets up a central database (Eudamed) to provide the European Commission, competent authorities, economic operators, notified bodies, sponsors, patients, healthcare professionals and the public with comprehensive information on products available in the EU;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strengthens the rules for the assessment of certain high risk devices, such as implants, which may have to undergo a clinical evaluation consultation procedure by experts before they are placed on the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modifications may have an effect on the way we develop our business in the EU and EEA. For example, as a result of the transition towards the new regime, notified body review times have lengthened, and product introductions could be delayed or canceled, which could adversely affect our ability to grow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Kingdom (“UK”), post-Brexit, medical devices are regulated under the Medical Devices Regulations 2002 (“MDR 2002”), which implement the three EU Medical Devices Directives into UK law. The UK decided it would not give effect to the EU Medical Devices Regulation. Instead, the UK government and the Medical Devices and Healthcare Regulatory Authority (“MHRA”) are currently considering amending the UK MDR. This new regulatory framework for medical devices in the UK is expected to become applicable as from July 2024. It is not clear to what extent the future UK regulatory framework will align with the EU Medical Devices Regulation, which may lead to duplicative or divergent requirements.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new regulations or revisions or reinterpretations of existing regulations may impose additional costs or lengthen review times of future products or limit our ability to sell to clinicians. It is impossible to predict whether legislative changes will be enacted or if regulations, guidance or interpretations will change and what the impact of such changes, if any, may be.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ability of the FDA, foreign regulatory agencies and the notified body, to review and clear, approve, certify, or grant De Novo classifications for new products can be affected by a variety of factors, including government budget and funding levels, ability to hire and retain key personnel and accept the payment of user fees and statutory, regulatory and policy changes. Average review times at these organizations have fluctuated in recent years as a result. In addition, government funding of other government agencies that oversee clearances and approvals and that fund research and development activities is subject to the political process, which is inherently fluid and unpredictable.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Disruptions at these agencies and bodies may slow the time necessary for new devices to be reviewed and/or cleared, approved or certified, which would adversely affect our business. For example, over the last several years, the U.S. government has shut down several times and certain regulatory agencies, such as the FDA, have had to furlough critical FDA employees and stop critical activities. Separately, in response to the global COVID-19 pandemic, in March 2020, the FDA temporarily postponed all domestic and foreign routine surveillance facility inspections. Subsequently, in July 2020, the FDA announced its intention to resume certain on-site inspections of domestic manufacturing facilities subject to a risk-based prioritization system and in May 2021, the FDA issued a new report outlining the agency’s plan to move toward a more consistent state of inspectional capacity and priorities for domestic and foreign inspections that were not performed during the pandemic. In July 2021, the FDA stated that it had largely returned to standard operations for domestic inspections; however, the agency’s foreign inspectional activities were still hampered by the pandemic. In January 2022, the FDA again put certain inspectional activities on hold because of the spread of the Omicron variant of COVID-19. In February of the same year, the FDA announced that it had resumed domestic inspection activities and certain foreign inspections. However, it is possible that new variants or a new public health emergency will emerge in the future, further interrupting and affecting the agency’s ability to carry out inspections in a timely manner. In such cases, regulatory authorities and certification bodies outside the United States may adopt similar restrictions, inspection priorities, or other policy measures in response to the COVID-19 or any other public health emergency or revert to relying on remote interactive evaluations, record requests or information from trusted regulatory partners if on-site inspections are not feasible.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FDA reallocated its personnel and resources during the COVID-19 pandemic, including for reviewing applications for emergency use authorizations for certain medical devices that may be helpful in responding to the pandemic. If a prolonged government shutdown occurs in the future, or if future global health concerns prevent the FDA, and other foreign regulatory authorities and certification bodies from conducting their regular inspections, reviews, or other regulatory activities, it could significantly impact the ability of the FDA, and other regulatory authorities and certification bodies to timely review and process our regulatory submissions, which could have a material adverse effect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instance in the EU, notified bodies must be officially designated to certify products and services in accordance with the EU Medical Devices Regulation. While several notified bodies have been designated, the COVID-19 pandemic significantly slowed down their designation process and the current designated notified bodies are facing a large amount of requests with the new regulation, resulting in longer notified body review times. This situation could impact our ability to grow our business in the EU and EEA.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ongoing labor shortage may limit our ability or the investigators’ ability to find and retain medical staff that are needed to conduct the clinical studies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COVID-19 pandemic has caused and, there still remains an ongoing shortage of labor force, including nurses, doctors, clinicians, and other medical personnel despite the changing economic and financial conditions. This shortage is causing medical institutions and other establishments to change their operations to accommodate the shortage, and in many cases, it results in increased personnel costs in finding and retaining the staff necessary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conduct the institutions’ and establishments’ operations. If the ongoing shortage continues or becomes worse, our ability to conduct clinical trials may be negatively affected, and we may need to modify or stop clinical trials, or expend greater resources in identifying and retaining the appropriate personnel necessary for the clinical investigations.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Ongoing Government Regulation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Even if we receive market authorization, or even if the FDA grants our De Novo classification request, we will continue to be subject to extensive ongoing regulation. If we fail to maintain necessary clearances, approvals, classifications, or certifications from the FDA, other applicable foreign regulatory authorities and notified bodies; or if there are state, federal or international level regulatory changes, our commercial operations could be harmed.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FDA grants our market authorization or grants the De Novo classification for our DeepView technology, it will be subject to extensive ongoing regulation in the United States by the FDA and by corresponding state regulatory agencies and authorities. It will also be subject to extensive regulation by EU institutions as well as EU member states’ regulatory authorities and notified bodies and the regulatory bodies of any other countries in which we receive the necessary regulatory approvals. These regulations pertain to the design, development, evaluation, manufacturing, testing, labeling, marketing, sale, advertising, promotion, distribution, shipping and servicing of products. These entities regulate and oversee record-keeping procedures, safety alerts, recalls, market withdrawals, removals and field corrective actions, post-market surveillance, including reporting of deaths or serious injuries and malfunctions that, if they were to reoccur, could lead to death or serious injury, and product import and export.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regulations to which we will be subject are complex and have become more stringent over time. Regulatory changes could result in restrictions on our ability to carry on or expand our operations, higher than anticipated costs or lower than anticipated sales. Such regulations, and interpretations thereof, may limit our ability to market or prevent us from marketing our products. Further, the FDA, foreign regulatory agencies and U.S. state agencies have broad enforcement powers, and our failure to comply with state, federal and international regulations could lead to enforcement actions such as warning letters or untitled letters; the imposition of injunctions, suspensions or loss of regulatory clearance or approvals; product recalls; safety alerts; termination of distribution; product seizures; consent decrees; civil penalties; or import detentions, import refusals, or import alerts. In the most extreme cases, criminal sanctions, administrative sanctions (e.g., seizure), injunctions, or closure of our manufacturing facilities are possible.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after clearance, approval, or De Novo classification, under the FDCA and FDA regulations, the scope of marketing claims we can make about cleared or approved devices, or devices that were granted De Novo classification is limited to the indications that were previously reviewed and permitted by the FDA. Other countries also have similar laws and regulations restricting marketing to such indications. If a regulatory agency determines that any of our marketing claims exceed the scope of permitted indications in a particular country, we may be subject to enforcement action and/or we may be required to cease making the challenged marketing claims, issue corrective communications, pay fines or stop selling products until the incorrect claims have been corrected.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our DeepView System outside the United States, if approved, will be subject to foreign regulatory requirements that vary widely from country to country, and such regulatory requirements have been changing and increasing in some countries. Complying with international regulatory requirements can be an expensive and time-consuming process. We may be unable to obtain or maintain regulatory clearances, approvals, De Novo classifications, or certifications in these countries. We may incur significant costs in attempting to obtain, renew, or modify foreign regulatory clearances or approvals, De Novo classifications, or certifications. If we experience difficulties in receiving, maintaining, renewing or modifying necessary clearances, approvals, De Novo classifications, or certifications to market our products outside the United States, or if we fail to receive, renew, modify or maintain those clearances, approvals, De Novo classifications, or certifications, we may be unable to market our products or enhancements in certain international markets effectively, or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Modifications to our DeepView GEN 3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obtained 510(k) clearances for the previous generations of our DeepView System (DeepView GEN1 and GEN2, as further described in the section titled “Business” starting on page 88 of this prospectus), although we have not commercially marketed the devices. In the United States, any modification to a 510(k)-cleared device that could significantly affect its safety or effectiveness, or that would constitute a major change in its intended use,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design, or manufacture, requires a new 510(k) clearance, or depending on the type and extent of the modification, a De Novo classification or a PMA. If we wish to market modified versions of DeepView System, we will need to make this determination before doing so and document our conclusion regarding the necessity of further regulatory review. The FDA may review such determinations and may not agree with our decisions regarding whether new 510(k), PMA, or De Novo classifications are necessary. If we are found to be marketing our products for off-label uses or indications for use that have not received the requisite clearances, approvals, De Novo classifications, or certifications, we might become subject to FDA and other competent authorities’ enforcement action or have other resulting liability. In addition, if the FDA or the competent authorities in the EU member states and EEA countries determine that our promotional materials or training constitute promotion of a use which is unapproved, not cleared, not covered by the De Novo classification order, not covered by a CE mark, or not in compliance with other regulatory authorities’ requirements, they could request that we modify our training or promotional materials or subject us to regulatory or enforcement actions, including the issuance of an untitled letter, a warning letter, an injunction, product seizures, consent decrees, civil fines, criminal penalties, import detention, import refusals, or import alerts.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DeepView System is found to cause or contribute to adverse medical events, this could interrupt, delay, or prevent its continued development, or negatively affect the market authorization, De Novo classification, or certification. We may be required to report them to the FDA or comparable regulatory authority, and if we fail to do so, we could be subject to sanctions that could harm our reputation, business, financial condition and results of operations, and become subject to further administrative and regulatory enforcement actions. The discovery of serious safety issues with our DeepView System, or a recall of our device either voluntarily or at the direction of the FDA or another governmental authority, could have a negative impact on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DeepView System is approved for commercialization, we will be subject to the FDA’s medical device reporting regulations and similar foreign regulations, which require us to report to the FDA or comparable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For investigational devices in clinical evaluation, investigators are required to submit a report of an unanticipated adverse device effect (“UADE”) to the sponsor within 10 working days after becoming aware of the UADE. We, as the sponsor, must evaluate the UADE and report the result of the investigation to FDA, institutional review boards, and all participating investigators within 10 working days of receiving the notice of the UADE. In certain cases, we may be required to terminate the clinical investigation. The timing of our obligation to report is triggered by the date when we receive the notice or when we otherwise become aware of the event, as well as the nature of the event. We may fail to report within the prescribed timeframe events of which we become aware. The investigator in the clinical evaluation may not be aware of the reporting or notification requirements or may otherwise fail to report a UADE. We may also fail to recognize that a reportable event has occurred, especially if it is not reported to us as an adverse event or if it is an adverse event that is unexpected or removed in time from the use of the product. If we fail to comply with our reporting obligations, the FDA or comparable regulatory authorities could act, including warning letters, untitled letters, administrative actions, criminal prosecution, imposition of civil monetary penalties, delay or termination of clinical investigations, revocation of our marketing authorizations, seizure of our products or delay in obtaining marketing authorizations or certifications for our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and in certain cases, equivalent foreign regulatory bodies, have the authority to require the recall of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we determine that such reasonable probability exists, or otherwise, if any material deficiency is found. Such recalls, whether government-mandated or voluntary, could occur as a result of an unacceptable risk to health, component failures, malfunctions, manufacturing defects, labeling or design deficiencies, packaging defects, or other deficiencies or failures to comply with applicable regulations. In addition, for investigational devices in development, non-compliance with the above or related requirements may have a negative effect on our application process, and the FDA or other foreign regulatory bodies may delay or refuse to clear, approve, issue the De Novo classification request, or issue a certification for our device.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Depending on the corrective action we take to redress a product’s deficiencies or defects, the FDA or foreign regulatory authorities or bodies may require, or we may decide, that we need to obtain new clearances, approvals, De Novo classifications, or certifications for the device before we may market or distribute the corrected device. Seeking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clearances, approvals, De Novo classifications, or certifications may delay our ability to replace the recalled devices in a timely manner. Moreover, if we do not adequately address problems associated with our devices, we may face additional regulatory enforcement action, including FDA or foreign regulatory bodies’ warning letters, product seizures, injunctions, administrative penalties or civil or criminal fines.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Quality is extremely important to us and our customers due to the impact on patients, and the serious and potentially costly consequences of product failure. Our business exposes us to potential product liability risks that are inherent in the design, manufacture, and marketing of medical devices. Once commercialized, many of our products will be used in settings with seriously ill patients where the devices’ failure may cause serious adverse effects on the patients. Component failures, manufacturing non-conformances, design defects, off-label or unapproved use, insufficient training of healthcare professionals, or inadequate disclosure of product-related risks or product-related information with respect to our products, if they were to occur, could result in an unsafe condition or injury to a patient. These problems could lead to recall of, or issuance of a safety alert relating to, our products, and could result in product liability claims and lawsuits, including class actions. If such problems occur during clinical investigations, FDA or other foreign regulatory agencies may refuse to grant market authorization or a De Novo classification request, or issue certifications for our products. In addition, negative publicity resulting from such problems may negatively affect or seriously hinder the sales of our products even after market authorization, De Novo classification, or certification. Any of the foregoing problems, including future product liability claims or recalls, regardless of their ultimate outcome, could harm our reputation and have a material adverse effect on our business, results of operations, financial condition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FDA and other regulatory enforcement agencies actively enforce the laws and regulations prohibiting the promotion of off-label or unapproved uses. If we are found to have improperly promoted off-label or unapproved uses, we may become subject to significant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obtained 510(k) clearances for the previous versions of our DeepView System (DeepView GEN1 and GEN2, as further described in the section titled “Business” starting on page 88 of this prospectus), although we have not commercially marketed the devices. If we decide to market any of our products, our marketing practices must stay within the scope of the permitted claims under the 510(k) clearances, or other market authorization, or De Novo classification order that we may receive in the future. The FDA and other regulatory enforcement agencies strictly regulate the promotional claims that may be made about medical devices. Devices authorized for marketing pursuant to a 510(k) clearance cannot be marketed for any intended use beyond the cleared indications. While we cannot restrict or dictate the healthcare professionals’ use of our devices, we cannot market for any off-label uses, or any uses that FDA has not reviewed and permitted. The use of the DeepView System for indications other than those for which FDA cleared, approved, or granted De Novo classification requests, or otherwise were certified by a notified body or foreign regulatory enforcement authority, may not effectively diagnose conditions not referenced in product indications, which could harm our reputation in the marketplace among clinicians. If we are found to have promoted such off-label uses or unapproved uses, we may become subject to significant government fines and other related liability. For example, 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among others.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The federal government has levied large civil and criminal fines against companies for alleged improper promotion and has enjoined several companies from engaging in off-label promotion or promotion of unapproved uses. The FDA has also requested that companies enter into consent decrees or permanent injunctions under which specified promotional conduct is changed or curtailed.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clinicians may misuse our products or use improper techniques if they are not adequately trained, potentially leading to misdiagnosis, injury, and an increased risk of product liability. If our device is misused or used with improper technique, we may become subject to costly litigation by clinicians or their patients. Even if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ultimately prevail, product liability claims could divert management’s attention from our core business and be expensive to defend. If we do not prevail, such claims may result in sizeable damages awards against us that may not be covered by insurance.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must comply with anti-kickback, fraud and abuse, false claims, transparency, and other healthcare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DeepView System is approved for commercialization, our future operations will be subject to various federal and state healthcare laws and regulations. These laws will affect our sales, marketing and other promotional activities by limiting the kinds of financial arrangements, including sales programs, we may develop with hospitals, clinicians or other potential purchasers or users of medical devices and services. They also impose additional administrative and compliance burdens on us. In particular, these laws will influence, among other things, how we structure our sales, placement and rental offerings, including discount practices, clinician support, education and training programs and clinician consulting and other service arrangements. The laws that may affect our practices and arrangements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good or service, for which payment may be made, in whole or in part, under federal healthcare programs such as Medicare and Medicaid.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U.S. federal civil False Claims Act, which prohibits any person from, among other things, knowingly presenting, or causing to be presented false or fraudulent claims for payment of government funds; knowingly making, using or causing to be made or used, a false record or statement material to an obligation to pay money to the government or knowingly and improperly avoiding, decreasing or concealing an obligation to pay money to the U.S. federal government. In addition, any claims submitted as a result of a violation of the federal Anti-Kickback Statute constitute false claims and are subject to enforcement under the False Claims Act. Actions under the False Claims Act may be brought by the government or as a qui tam action by a private individual in the name of the government and to share in any monetary recovery. Qui tam actions are filed under seal and impose a mandatory duty on the U.S. Department of Justice to investigate such allegations. False Claims Act liability is potentially significant in the healthcare industry because the statute provides for treble damages and significant mandatory penalties (adjusted annually for inflation) per false claim or statement for violations. Because of the potential for large monetary exposure, healthcare companies often resolve allegations without admissions of liability for significant and sometimes large settlement amounts to avoid the uncertainty of treble damages and per claim penalties that may be awarded in litigation proceedings. Many device manufacturers have resolved investigations of alleged improper activities, including causing false claims to be submitted as a result of the marketing of their products for unapproved and thus non reimbursable uses, and other interactions with prescribers and others including those that may have affected their billing or coding practices and submission to the federal government. Moreover, to avoid the risk of exclusion from federal healthcare programs as a result of a False Claims Act settlement, companies may enter into corporate integrity agreements with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government, which may impose substantial costs on companies to ensure compliance. There are also criminal penalties, including imprisonment and criminal fines, for making or presenting a false or fictitious or fraudulent claim or statement to the federal government;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criminal healthcare statutes that were added by the Health Insurance Portability and Accountability Act of 1996 (“HIPAA”) and its implementing regulations, which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Eliminating Kickbacks in Recovery Act (“EKRA”), 18 U.S.C. § 220, makes it a federal crime for anyone, with respect to services covered by a health care benefit program, to knowingly and willfully solicit or receive any remuneration in return for referring a patient or patronage to a recovery home, clinical treatment facility, or laboratory; or to pay or offer any remuneration to induce a referral of an individual to a recovery home, clinical treatment facility, or laboratory; or in exchange for an individual using the services of that recovery home, clinical treatment facility, or laboratory. EKRA applies more broadly than the federal Anti-Kickback Statute, as “health care benefit program” includes not only state and federal health care programs, but also private health plans. EKRA also has fewer statutory safe harbors and no regulatory state harbors. Violations of this provision may result in substantial fines and/or imprisonment. Additional violations that may be imposed include sanctions, licensure revocations, or the exclusion from participating in governmental healthcare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Physician Payments Sunshine Act (the “Sunshine Act”) and its implementing regulations, which requires certain manufacturers of drugs, devices, biologics and medical supplies that are reimbursable under Medicare, Medicaid, or the Children’s Health Insurance Program to report annually to the CMS information related to certain payments made in the preceding calendar year and other transfers of value to physicians and teaching hospitals, as well as ownership and investment interests held by physicians and their immediate family members. Beginning January 1, 2022, manufacturers will also be required to report payments and other transfers of value made during the prior calendar year to physician assistants, nurse practitioners, clinical nurse specialists, certified nurse anesthetists, and anesthesiology assistants;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foreign and state laws and regulations, including state payment reporting, anti-kickback and false claims laws, that may apply to items or services reimbursed by any third-party payor, including private insurers; foreign and state laws that require medical device companies to comply with the medical device industry’s voluntary compliance guidelines and the relevant compliance guidance promulgated by the U.S. federal government and other national governments, or otherwise restrict payments that may be made to healthcare providers and other potential referral sources; and foreign and state laws and regulations that require drug and device manufacturers to report information related to payments and other transfers of value to dental practitioners and other healthcare providers or marketing expenditures, many of which differ from each other in significant ways and may not have the same effect, thus complicating compliance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scope and enforcement of these laws is substantial and subject to rapid change. The shifting compliance environment and the need to build and maintain robust compliance programs,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 Because of the breadth of these laws and the narrowness of available statutory and regulatory exemptions or safe harbors, it is possible that some of our future activities could be subject to challenge under one or more of such laws. Any government investigation, even if we are able to successfully defend against it, will require the expenditure of significant resources, is likely to generate negative publicity, harm our reputation and potentially our financial condition and divert the attention of our management. Moreover, any investigation into our practices could cause adverse publicity and require a costly and time-consuming response. If our operations are found to be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violation of any of these laws or any other governmental regulations that may apply to us, we may be subject to significant civil, criminal and administrative penalties, damages, fines, imprisonment of individuals, exclusion from government funded healthcare programs, such as Medicare and Medicaid, imposition of compliance obligations and monitoring, and the curtailment or restructuring of our operations. Any of the foregoing consequences could seriously harm our business and our financial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Healthcare reform measures could hinder or prevent the commercial success of our DeepView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there have been, and we expect there will continue to be, a number of legislative and regulatory changes to the healthcare system in ways that may harm our future revenues and profitability and the demand for our DeepView System, if it receives the necessary market authorization, or De Novo classification for commercialization. Federal and state lawmakers regularly propose and, at times, enact legislation that would result in significant changes to the healthcare system, some of which are intended to contain or reduce the costs of medical products and services. Current and future legislative and regulatory proposals to further reform healthcare or reduce healthcare costs may limit coverage of or lower reimbursement for the procedures associated with the use of our DeepView System. The cost containment measures that payors and providers are instituting and the effect of any healthcare reform initiative implemented in the future could impact our revenue from the sale of our DeepView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way of example, in the United States, the Affordable Care Act (“ACA”) was enacted in March 2010 and substantially changed the way healthcare is financed by both governmental and private insurers, and significantly impacts our industry. The 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numerous amendments to the ACA and revisions to implementing regulations, along with judicial, executive and Congressional challenges to certain aspects of the ACA. On June 17, 2021, the Supreme Court ruled that states and individuals lacked standing to challenge the constitutionality of the ACA’s individual mandate, post-repeal of its associated tax penalty. Additionally, President Biden issued an executive order that initiated a special enrollment period for purposes of obtaining health insurance coverage through the ACA marketplace, which began on February 15, 2021 and ended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Under Republican leadership, the House of Representatives has yet to release its budget proposals for 2023. Nevertheless, virtually every Republican budget or fiscal plan over the last decade has included a repeal of the ACA and deep cuts to Medicaid. Additional legislative changes, regulatory changes and judicial challenges related to the ACA remain likely. We cannot predict what effect further changes related to the ACA, including under the Republican congress or Biden administration, will have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continuing efforts of the government, insurance companies, managed care organizations and other payors of healthcare services to contain or reduce costs of healthcare may harm: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set a price that we believe is fair for our DeepView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generate revenue and achieve or maintain profitability;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what other laws and regulations will ultimately be enacted and implemented at the federal or state level or the effect of any future legislation or regulation in the United States on our business, financial condition, prospects and results of operations. Future changes in healthcare policy could increase our costs and subject us to additional requirements that may interrupt commercialization of our current and future solutions, decrease our revenue and impact sales of and pricing for our current and future products.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manufacturers fail to comply with the regulatory quality system regulations or any applicable equivalent regulations, our proposed operations could be interrupted, and our operating results would suffer.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outsource all of our manufacturing through an original equipment manufacturer and as such we are not in direct control of the manufacture of our products and are, therefore, exposed to the risk of poor product quality, non-adherence to applicable standards, disruptions in supply chain, or other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third-party manufacturers and suppliers will be required, to the extent of applicable regulation, to follow the quality system regulations of each jurisdiction in which we will seek to market our products and also will be subject to the regulations of these jurisdictions regarding the manufacturing processes. If our manufacturers or suppliers are found to be in significant non-compliance or fail to take satisfactory corrective action in response to adverse regulatory findings in this regard, regulatory agencies could take enforcement actions against such manufacturers or suppliers, which could impair or prevent our ability to produce our products in a cost-effective and timely manner in order to meet customers’ demands. Accordingly, our operating results would suffer.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mitigate these risks, we perform regularly scheduled visits with our contract manufacturer and routinely inspect the quality and performance of the device in accordance with federally mandated standards and certification standards of the International Organization for Standardization (“ISO”). Our current contract manufacturer, Cobalt Product Solutions is located within a short driving distance from our headquarters and allows our employees to have hands-on interaction and timely inspections of the device. However, a future pandemic, epidemic or other infectious disease outbreak could hinder or prevent continued hands-on and timely inspections of the device and the facilities.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Actual or perceived failure to comply with data protection, privacy and security laws, regulations, standards and other requirements could negatively affect our business, financial condition or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federal, state, and foreign data protection laws and regulations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laws and regulations that address privacy and data security). 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could apply to our operations or the operations of our partners. For example, HIPAA, as amended by the Health Information Technology for Economic and Clinical Health Act of 2009 (“HITECH”), and the regulations implemented thereunder, or collectively, HIPAA, imposes obligations on “covered entities,” including certain health care providers, health plans, and health care clearinghouses, and their respective “business associates” that create, receive, maintain or transmit individually identifiable health information (“PHI”) for or on behalf of a covered entity, as well as their covered subcontractors with respect to safeguarding the privacy, security and transmission of individually identifiable health information. Entities that are found to be in violation of HIPAA, whether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when HIPAA does not apply, according to the Federal Trade Commission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 For example, California enacted the California Consumer Privacy Act (the “CCPA”), which creates individual privacy rights for California consumers (as defined in the law), including the right to opt out of certain disclosures of their information, and places increased privacy and security obligations on entities handling certain personal data of consumers or households and may apply to us in the future. The CCPA also creates a private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action with statutory damages for certain data breaches, thereby potentially increasing risks associated with a data breach.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Enforcement of CPRA is scheduled to begin on July 1, 2023. The CCPA and CPRA could mark the beginning of a trend toward more stringent privacy legislation in the United States, as other states or the federal government follow California’s lead and increase protections for U.S. residents. For example, on March 2, 2021, the Virginia Consumer Data Protection Act, which took effect on January 1, 2023, was signed into law. Privacy initiatives have also been signed into law in Colorado (the Colorado Privacy Act, effective July 1, 2023), Connecticut (the Connecticut Personal Data Privacy and Online Monitoring Act, effective July 1, 2023), and Utah (the Utah Consumer Privacy Act, effective December 31,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data protection laws, including the General Data Protection Regulation (the “GDPR”), which went into effect in May 2018, may also apply to our processing of health-related and other personal data regardless of where the processing in question is carried out. The GDPR imposes stringent requirements for controllers and processors of personal data of individuals within the European Economic Area (the “EEA”). The GDPR applies to any company established in the EEA as well as to those outside the EEA if they collect, process, and use personal data in connection with the offering of goods or services to individuals in the EEA or the monitoring of their behavior. The GDPR, together with national legislation, regulations and guidelines of the EEA countries governing the processing of personal data, impose strict obligations and restrictions on the ability to collect, analyze and transfer personal data, including health data from clinical trials and adverse event reporting. In particular, these obligations and restrictions involve the consent of the individuals to whom the personal data relates, the information provided to the individuals, the transfer of personal data out of the EEA to jurisdictions deemed to have inadequate, security breach notifications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 (the “CJEU”).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The European Commission has published revised standard contractual clauses for data transfers from the EEA: the revised clauses must be used for relevant new data transfers from September 27, 2021; existing standard contractual clauses arrangements must be migrated to the revised clauses by December 27, 2022. If necessary, we will be required to implement the revised standard contractual clauses, in relation to relevant existing contracts and certain additional contracts and arrangements, within the relevant time frames. There is some uncertainty around whether the revised clauses can be used for all types of data transfers, particularly whether they can be relied on for data transfers to non-EEA entities subject to the GDPR.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The European Commission has adopted an adequacy decision in favor of the United Kingdom, enabling data transfers from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 member states to the United Kingdom without additional safeguards. However, the United Kingdom adequacy decision will automatically expire in June 2025 unless the European Commission re-assesses and renews/extends that decision, and remains under review by the Commission during this period. The relationship between the UK and the European Union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Implementing mechanisms that endeavor to ensure compliance with the GDPR and relevant local legislation in EEA countries and the UK, if necessary, may be onerous and may interrupt or delay our development activities, and adversely affect our business, financial condition, prospects and results of operations. While we have taken steps to comply with the GDPR where applicable, including by reviewing our security procedures, and entering into data processing agreements with relevant contractors, our efforts to achieve and remain in compliance may not be fully successful.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applicable US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employees, collaborators, independent contractors and consultants may engage in misconduct or other improper activities, including noncompliance with regulatory standards and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FDA requirements, including those laws requiring the reporting of true, complete and accurate information to the FDA authorities, such as reporting of UADEs during clinical investigations;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GCP that relate to clinical investigations, including financial disclosure, informed consent and protection of human subjects, and requirements that relate to investigational device exemptions;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manufacturing standards, such as FDA’s Quality System Regulation (“QSR”)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federal and state healthcare fraud and abuse laws and regulations;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laws that require the true, complete and accurate reporting of financial information or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OIG could result in penalties, a loss of business from third parties, and severe reputational harm.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the regulatory framework for AI technology evolves, our business, financial condition and results of operation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utilize artificial intelligence, including machine learning, in our predictive analytics platforms. In recent years, the use of AI has come under increased regulatory scrutiny. The regulatory framework for AI technology is evolving and remains uncertain. It is possible that new laws and regulations will be adopted in the United States and in non-U.S. jurisdictions, where we intend to do business subject to our receipt of the necessary market authorizations, or that existing laws and regulations may be interpreted in new ways that would affect our operations and the ways in which we may use our AI technology. Specifically, such laws and regulations may limit our ability to use our AID models or require us to make changes to our technology that may decrease our operational efficiency, result in an increase to operating costs, or hinder our ability to provide our services. Further, the cost to comply with such laws, rules or regulations could be significant and would increase our operating expenses, which could adversely affect our business, financial condition and results of operation.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failure or perceived failure by us to comply with AI technology-related laws, rules and regulations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technology and business. Further, any such proceedings and any subsequent adverse outcomes may subject us to significant negative publicity. If any of these events were to occur, our business, results of operations and financial condition could be materially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must comply with environmental and occupational safety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Commercialization of our DeepView System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approved, the commercial success of our DeepView System will depend upon the degree of market acceptance by clinicians.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we receive the necessary regulatory approvals for commercialization, there is a risk that our DeepView System will not be accepted over competing products and that we will be unable to enter the marketplace or compete effectively. If the market for our DeepView System fails to develop or develops more slowly than expected, our business and operating results would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DeepView System will allow clinicians to make more accurate and faster treatment decisions in the wound care sector. Whether clinicians choose to use our device over other market alternatives, however, is likely to be based on a determination that, among other things, our system is effective, safe, cost-effective and represents an acceptable method of diagnosis. Even if we can prove the effectiveness of our DeepView System through clinical trials, there may not be broad adoption and use of our device and clinicians may elect not to use our DeepView System for any number of reasons,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of experience with our DeepView System and concerns that we are new to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perceived liability risk generally associated with the use of our device;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or perceived lack of (i) sufficient clinical evidence regarding our claims of superior diagnostic assessment and (ii) long-term data, supporting clinical benefits or the cost-effectiveness of our device over existing diagnostic alternatives;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failure of key opinion leaders to provide recommendations regarding our device, or to assure clinicians and healthcare payors of the benefits of our device as an attractive alternative to other diagnostic options;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long-standing relationships with companies and distributors that sell other diagnostic products for wound care assessment;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concerns over the capital investment required to purchase our DeepView System and perform the DeepView procedure;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of availability of adequate third-party payor coverage or reimbursement;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competitive response and negative selling efforts from providers of alternative technologies;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obtain favorable coverage decisions from payors, including, but not limited to, Medicare or Medicaid;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limitations or warnings contained in the labeling cleared or approved by the FDA, if approved, or approved or certified by other authorities or bodies.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educating notable industry key opinion leaders and clinicians about the merits and benefits of our DeepView System, including safety, performance, ease of use and efficiency will be critical for increasing the adoption of our device. Widespread adoption of new medical device technologies typically follows early adoption and promotion by key opinion and thought leaders in the relevant sectors. We have taken steps to address this by establishing strong relationships with leading U.S. hospitals around the country. Spectral has enrolled subjects in its DFU studies in clinical and academic sites across the US and the EU with approximately 375 subjects across well-known medical facilities. Spectral has also signed with international partners such as the Royal College of Surgeons in Ireland, a well-respected institution in the field. We believe that we will be able to leverage these relationships to access other institutions and individuals, which should increase awareness and early adoption of our technology in the United States, UK and EU. U.S. adoption will also benefit from the potential future BARDA funding of technology placement for burns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clinicians do not adopt our DeepView System for any reason, including those listed above, our ability to execute our growth strategy will be impaired, and it will negatively affect our business, financial condition, prospects and results of operations. Even if our DeepView System achieves widespread market acceptance, it may not maintain such level of market acceptance over the long term if competing products or technologies, which are more cost-effective or received more favorably, are introduced. In addition, our limited commercialization experience makes it difficult to evaluate our current business and predict our future prospects. We cannot predict how quickly, if at all, clinicians will accept our DeepView System or, if accepted, how frequently it will be used. Failure to achieve or maintain market acceptance and/or market share could materially and adversely affect our ability to generate revenue and would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no experience in marketing and selling our DeepView System and we may provide inadequate training, fail to increase our sales and marketing capabilities, or fail to develop and maintain broad brand awareness in a cost-effective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experience marketing and selling our DeepView System. If our DeepView System is approved for commercialization, we expect to rely on a direct sales force to sell our product in targeted geographic regions and territories. Any failure to grow and maintain our direct sales force could harm our business. The members of our direct sales force will receive extensive training on our DeepView System and will possess technical expertise with respect to our technology. The members of our sales force will be at-will employees. The loss of these personnel to competitors, or otherwise, could materially harm our business. If we are unable to retain our direct sales force personnel or replace them when needed with individuals of comparable expertise and qualifications, or if we are unable to successfully instill such expertise in replacement personnel, our product sales, revenues and results of operations could be materially harmed.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Identifying and recruiting qualified sales and marketing professionals and training them on our DeepView System, on applicable federal and state laws and regulations, and on our internal policies and procedures will require significant time, expense and attention. It may take several months or more before a sales representative is fully trained and productive. Our sales force may subject us to higher fixed costs than those of companies with competing products that can utilize independent third parties, placing us at a competitive disadvantage. Our business may be harmed if our efforts to train and grow our sales force do not generate significant product sales and revenue, and our higher fixed costs may slow our ability to reduce costs in the face of a sudden decline in demand for our technology. Any failure to hire, develop and retain talented sales personnel, to achieve desired productivity levels in a reasonable period of time or timely reduce fixed costs, could have a material adverse effect on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DeepView System is approved for commercialization, our ability to achieve broader market acceptance of our device will depend, to a significant extent, on our sales, marketing and educational efforts. We plan to dedicate significant resources to our sales, marketing and educational programs. Our business may be harmed if these efforts and expenditures do not generate sufficient revenue. In addition, we believe that developing and maintaining broad awareness of our DeepView System in a cost-effective manner is critical to achieving broad acceptance of our device. Promotional and educational activities may not generate clinician awareness or generate sufficient revenue, and even if they do, any revenue generated may not offset the costs and expenses we incur. If we fail to successfully promote our DeepView System in a cost-effective manner, we may fail to attract or retain the market acceptance necessary to realize a sufficient return on our promotional and educational efforts, or to achieve broad adoption of our products.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establish sales, marketing and distribution capabilities either on our own or in collaboration with third parties, we may not be successful in commercializing our DeepView System, if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any infrastructure currently in place for the sales, marketing or distribution of our DeepView System, or compliance functions related to such activities, and the cost of establishing and maintaining such an organization may exceed the cost-effectiveness of doing so. To market and successfully commercialize our DeepView System, if approved, we must build our sales, distribution, marketing, managerial, compliance, and other non-technical capabilities or make arrangements with third parties to perform these services. We expect to build a focused sales, distribution and marketing infrastructure to market the DeepView System, if approved. There are significant expenses and risks involved with establishing our own sales, marketing and distribution capabilities. Any failure or delay in the development of our internal sales, marketing, distribution and compliance capabilities could delay any product launch, which would adversely impact the commercialization of our product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third-party payors do not provide coverage and reimbursement for the use of our DeepView System, our business and prospects will be negatively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receive the necessary regulatory approval to commercialize our DeepView System, sales of our DeepView System will depend, in part, on the extent to which the use of our device is covered and reimbursed by third-party payors, including private insurers and government healthcare programs such as Medicare Advantage plans and plans purchased through the ACA marketplace. Where third-party payor coverage is not available, patients will be responsible for all of the costs associated with the use of our device. Even if a third-party payor covers a particular use of our device, the resulting reimbursement rate may not be adequate to cover a provider’s cost to purchase our product or ensure such purchase is profitable for the provider.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Third-party payors, whether governmental or commercial, are developing increasingly sophisticated methods of controlling healthcare costs. In addition, in certain countries,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will require us to provide scientific and clinical support for the use of our device to each payor separately, with no assurance that coverage and adequate reimbursement will be obtained, or maintained if obtained.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future coverage and reimbursement may be subject to increased restrictions, such as additional prior authorization requirements, both in the United States and in relevant international markets in which we plan to operate, assuming we receive the necessary approvals. Third-party coverage and reimbursement for procedures using our DeepView System may not be available or adequate in either the United States or international markets. If demand for our DeepView System is adversely affected by changes in third-party reimbursement policies and decisions, it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achieve or maintain satisfactory pricing and margins for our DeepView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Manufacturers of medical devices have a history of price competition, and we can give no assurance that we will be able to achieve satisfactory prices for our DeepView System, if it is approved for commercialization. We will be subject to a number of factors on our ability to maintain satisfactory pricing and margins, including, but not limited to, payor reimbursement, sale pricing of our DeepView System, wide-spread adoption of the DeepView System at hospitals, clinics and burn centers, as well as production cost increases from third party suppliers and our contract manufacturers. For example, any decline in the amount that payors reimburse clinicians for our DeepView System could make it difficult for them to continue using, or to adopt, our device and could create additional pricing pressure for us. If we are forced to lower the price we charge for our DeepView System, our revenue and gross margins will decrease, which will adversely affect our ability to invest in and grow our business. If we are unable to maintain our sales or our prices, including during any international expansion, or if our costs increase and we are unable to offset such increase with an increase in our prices, our margins could erode. We will be subject to significant pricing pressure, which could negatively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face competition from many sources, including larger companies, and we may be unable to compete successfully.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in a highly competitive industry that is significantly affected by the introduction of new products and technologies and other activities of industry participants. Our DeepView System will compete directly against conventional methods of wound care assessment. We will compete with manufacturers and suppliers of devices, instruments and other supplies used in connection with such conventional diagnoses. The market for these devices and instruments is highly fragmented with primary supply chains concentrated across a few larger manufacturers and distributors, such as Cobalt Product Solutions, Sanmina Corporation and Plexus Manufacturing.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competitors have longer, more established operating histories, and significantly greater name recognition and financial, technical, marketing, sales, distribution and other resources, which may prevent us from achieving significant market penetration. These companies may enjoy several other competitive advantages, including established relationships with clinicians who are familiar with other alternatives for wound care assessment, additional lines of products, and the ability to offer rebates or bundle products to offer greater discounts or incentives to gain a competitive advantage and established sales, marketing and worldwide distribution networks.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primary competitive factors for companies that market new or alternative treatments and solutions in the wound care industry include acceptance by leading clinicians, patient outcomes and adverse event rates, patient experience and treatment time, ease-of-use and reliability, patient recovery time and level of discomfort, economic benefits and cost savings, intellectual property protection and the development of successful sales and marketing channels. One of the major hurdles to widespread adoption of our device will be overcoming established diagnostic patterns, which will require education of clinicians and their referral 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compete with additional competitors and products outside the United States as well. Among other competitive advantages, such companies may have more established sales and marketing programs and networks, established relationships with clinicians and greater name recognition in such markets.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current and potential competitors have established, or may establish, financial and strategic relationships among themselves or with existing or potential customers or other third parties to increase the ability of their products to address customer needs. Accordingly, it is possible that new competitors or alliances among competitors could emerge and acquire significant market share. Existing and/or increased competition could, therefore, adversely affect our market share and/or force us to reduce the price of our products, which could have an adverse impact on our business, prospects, results of operations and financial condition.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continue to innovate and improve our products and services, we could lose market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markets for our products and services are characterized by changing technology and customer requirements. Changing customer requirements and the introduction of products or services or enhancements embodying new technology may render our existing DeepView System obsolete, unmarketable or competitively impaired and may exert downward pressures on the pricing of our device. One of our key competitive advantages is that we are currently the only AI-enabled wound imaging technology that translates raw physiological data/images into an output that is directly correlated to a wound healing assessment. We intend to continue to invest in technical developments in order to mitigate the impact of future 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critical to our success to be able to anticipate changes in technology or in industry standards, to successfully develop and introduce new, enhanced and competitive products on a timely basis, and to keep pace with technological change. This may place excessive strain on our capital resources, which may adversely impact our revenues and profitability. We cannot assure you that we will successfully develop new products or services or enhance and improve our existing products or services on a timely basis. Neither can we be certain that new products and enhanced and improved existing products will achieve market acceptance or that the introduction of new products or enhancing existing products by others, or changing customer requirements, will not render our products or services obsolete. Our inability to develop products or services that are competitive in technology and price and that meet client needs could have an adverse impact on our business, prospects,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receive the necessary regulatory approvals for commercialization, we will rely on third-party suppliers, including in some instances single or sole source suppliers, to provide us with certain components, sub-assemblies and finished products for our DeepView System. These components, sub-assemblies and finished products are critical and, for a small number of items, there are relatively few alternative sources of supply. For example, we primarily work with Cobalt Systems Product Solutions. We do not currently have long-term supply contracts with certain of the sole and single source suppliers of these key components, and there are no minimum purchase or payment requirements. Additionally, we believe we are not a major customer to many of our suppliers. Our suppliers may therefore give other customers’ needs higher priority than ours, and we may not be able to obtain adequate supply in a timely manner or on commercially reasonable terms. These single or sole source suppliers may be unwilling or unable to supply the necessary materials and components or manufacture and assemble our product in a reliable manner and at the levels we anticipate or at levels adequate to satisfy demand for our product. While our suppliers have generally met our demand for their products and services on a timely basis in the past, we cannot guarantee that they will in the future be able to meet our demand for such products and services, either because of acts of nature, the nature of our agreements with those suppliers or our relative importance to them as a customer, and our suppliers may decide in the future to discontinue or reduce the level of business they conduct with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been qualified or obtained necessary regulatory clearances for additional suppliers for most of these components, sub-assemblies and materials. While we currently believe that alternative sources of supply may be available, we cannot be certain whether they will be available if and when we need them, or that any alternative suppliers or providers would be able to provide the quantity and quality of components and materials that we would need to manufacture and ship our products if our existing suppliers and providers were unable to satisfy our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utilize other sources, we would need to identify and qualify new providers to our quality standards and obtain any additional regulatory clearances or approvals required to change providers, which could result in manufacturing delays and increase our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that we have stable relationships with our existing suppliers, we cannot assure you that we will be able to secure a stable supply of components or materials going forward. In the event that any adverse developments occur with our suppliers, in particular for those components that are single or sole 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dependence on third parties subjects us to a number of risks that could impact our ability to manufacture our products and harm our business,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interruption of supply resulting from modifications to, or discontinuation of, a third party’s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in product shipments resulting from uncorrected defects or errors, reliability issues or a third party’s failure to produce components that consistently meet our quality specifications;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price fluctuations due to a lack of long-term supply arrangements with our third parties for key components;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inability to obtain adequate supply or services in a timely manner or on commercially reasonable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difficulty identifying and qualifying alternative third parties for the supply of components of our products in a timely manner;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inability of third parties to comply with applicable provisions of the FDA’s QSR or other applicable laws or regulations enforced by the FDA, state, local and global regulatory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inability to ensure the quality of products manufactured by third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shipping and manufacture delays and interruptions caused by the ongoing COVID-19 crisis that we are not able to address, prepare for, or prevent;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production delays related to the evaluation and testing of products and services from alternative third parties and corresponding regulatory qualifications;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trends towards consolidation within the medical device manufacturing supplier industry;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in delivery by our suppliers and service providers.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quarantines, shelter-in-place and similar government orders resulting from any future pandemic, epidemic or other infectious disease outbreak, or the perception that such orders, shutdowns or other restrictions on the conduct of business operations could occur, could impact the suppliers upon which we rely, or the availability or cost of materials, which could disrupt the supply chain for our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require our third-party suppliers and providers to supply us with components and services that meet our specifications and other applicable legal and regulatory requirements in our agreements and contracts, and we perform incoming inspection, testing or other acceptance activities to ensure the components meet our requirements, there is a risk that these third parties will not always act consistent with our best interests, and may not always supply components or provide services that meet our requirements or in a timely manner. In addition, we cannot assure you that our suppliers have obtained and will be able to obtain or maintain all licenses, permits, clearances and approvals necessary for their operations or comply with all applicable laws and regulations, and failure to do so by them may lead to interruption in their business operations, which in turn may result in shortages of components supplied to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receive a significant number of warranty claims or our DeepView System requires significant amounts of service after sale, our operating expenses may substantially increase and our business and financial results will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DeepView System is approved for commercialization, we intend to warrant each DeepView system against defects in materials and workmanship. We also expect to provide technical and other services beyond the warranty period pursuant to a supplemental service plan that we sell for our DeepView system. We have no history of commercial placements from which to judge our rate of warranty claims, and we expect that the number of warranty claims we receive may increase as we scale our operations and as commercial placements age. If product returns or warranty claims are significant or exceed our expectations, we could incur unanticipated reductions in sales or additional operating expenditures for parts and service. In addition, our reputation could be damaged and our device may not achieve the level of market acceptance that we are targeting in order to achieve and maintain profitability. Unforeseen warranty exposure could negatively impact our business and financial results.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need to ensure strong product performance and reliability to maintain and grow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need to maintain and continuously improve the performance and reliability of our DeepView System to achieve our profitability objectives. Poor product performance and reliability could lead to clinician dissatisfaction, adversely affect our reputation and revenues, and increase our service and distribution costs and working capital requirements. In addition, software and hardware incorporated into our DeepView System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including due to the costs associated with replacing products and decreased demand for our product offering. Any of the foregoing could have a material adverse effect on our business, financial condition, prospects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intend to test our products prior to shipment, defects or errors could nonetheless occur. Our operating results will depend on our ability to execute and, when necessary, improve our quality management strategy and systems and our ability to effectively train and maintain our employee base with respect to quality management. The failure of our quality control systems or those of our third-party suppliers could result in problems with facility operations or preparation or provision of products. In each case, such problems could arise for a variety of reasons, including equipment malfunction, failure to follow specific protocols and procedures, problems with off-the-shelf materials, sub-assemblies, parts and other components or environmental factors and damage to, or loss of, manufacturing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results of operations will be materially harmed if we are unable to accurately forecast demand for, and utilization of, our DeepView System and manage our inventory.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DeepView System is approved for commercialization, we will be required to forecast inventory needs and manufacture our DeepView System based on our estimates of future demand for, and utilization of, our device. Our ability to accurately forecast demand and utilization could be negatively affected by many factors, including our failure to accurately manage our expansion strategy, product introductions by competitors, an increase or decrease in demand for our products or for products of our competitors, our failure to accurately forecast acceptance of new products, unanticipated changes in general market conditions or regulatory matters and weakening of economic conditions or consumer confidence in future economic conditions. Inventory levels in excess of demand may result in inventory write-downs or write-offs, which would cause our gross margin to be adversely affected and could impair the strength of our brand. Conversely, if we underestimate demand and utilization, our supply chain, manufacturing partners and/or internal manufacturing team may not be able to deliver components and products to meet our requirements, and this could result in damage to our reputation and relationships with clinicians and dental practitioners. In addition, if we experience a significant increase in demand or utilization, additional supplies of off-the-shelf materials, sub-assemblies, parts and other components or additional manufacturing capacity may not be available when required on terms that are acceptable to us, or at all, or suppliers may not be able to allocate sufficient capacity in order to meet our increased requirements. We currently outsource all of our manufacturing through an original equipment manufacturer. Cobalt, located in Plano, Texas, is involved with manufacturing the current generation DeepView System and we anticipate that they will continue to do so for the foreseeable future. In addition to Cobalt, we integrate several other highly specialized contract manufacturers in the areas of optics, technology design and electronics. If any of these suppliers were unable to meet our requirements, we would need to find a replacement or supplemental supplier, which we may not be able to do on a timely basis, or at all. Any of the foregoing would materially which will adversely affect our business, financial condition, prospects and results of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encounter difficulties in managing our growth, which could disrupt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experienced substantial growth in our operations, and we expect to experience continued substantial growth in our business. Over the next several years, we expect to significantly increase the scope of our operations, particularly in the areas of manufacturing, sales and support, research and development, product development, regulatory affairs, marketing and other functional areas, including finance, accounting, quality control, and legal, especially as we transition to operating as a U.S. public company.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may lead to significant costs and may divert our management and business development resources. Any inability to manage growth could delay the execution of our business plans or disrupt our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highly dependent on our senior management, directors and key personnel, and our business could be harmed if we are unable to attract and retain personnel necessary for our success.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depend to a significant degree on the continued services of our senior management, directors and key personnel. Their knowledge of both the market and their skills and experience are critical elements to our success. Our senior management team, directors and employees are engaged with us on an ‘at will’ basis, meaning that both they and we are able to terminate the arrangement without notice. The loss of key personnel could have an adverse impact on our business, prospects,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not able to attract and retain highly skilled managerial, scientific and technical personnel, we may not be able to implement our business model successfully.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rely upon technical and scientific employees or third-party contractors to effectively establish, manage and grow our business. Consequently, we believe that our future viability will depend largely on our ability to attract and retain highly skilled managerial, sales, scientific and technical personnel. In order to do so, we may need to pay higher compensation or fees to our employees or consultants than we currently expect, and such higher compensation payments would have a negative effect on our operating results. Competition for experienced, high-quality personnel is intense and we cannot assure you that we will be able to recruit and retain such personnel. We may not be able to hire or retain the necessary personnel to implement our business strategy. Our failure to hire and retain such personnel could impair our ability to develop new products and manage our business effectively.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growth plans may place a significant strain on our management and operational, financial and personnel resources. In order to execute our strategy, we will need to hire additional individuals. These hires include product management, marketing and highly technical engineering roles. Furthermore, some of these hires will be in the UK and/or Europe to support our European strategy. Though we have never undertaken this level of growth, our Corporate Development Officer and the Human Resources Manager have instituted a long-term hiring plan with key dates that ensure the individual is hired and trained months before the strategy must be executed. Furthermore, our ability to implement our strategy requires effective planning and management control systems. Therefore, our future growth and prospects will depend on our ability to manage this growth.</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expect to significantly increase the size of our organization over the next several years. As a result, we may encounter difficulties in managing our growth, which could disrupt our operations and/or increase our net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2023, we had 77 employees. Over the next several years, we expect to experience significant growth in the number of our employees and the scope of our operations, particularly in the areas of regulatory affairs, clinical and sales and marketing. There are significant expenses and risks involved with establishing our own sales, marketing and distribution capabilities. Any failure or delay in the development of our internal sales, marketing, distribution and compliance capabilities could delay any product launch, which would adversely impact the commercialization of our product. We also intend to continue to improve our operational, financial and management controls, reporting systems and procedures, which may require additional personnel. Such growth could place a strain on our administrative and operational infrastructure, and/or our managerial abilities, and we may not be able to make improvements to our management information and control systems in an efficient or timely manner. We may discover deficiencies in existing systems and controls.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these employees will also be in countries outside of our corporate headquarters, which adds additional complexity. To manage our anticipated future growth, we must continue to implement and improve our managerial, operational and financial systems, expand our facilities and continue to recruit and train additional qualified personnel. We may not be able to effectively manage these activities. The physical expansion of our operations may lead to significant costs and may divert our management and business development resources.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software and our internal computer systems may fail and such failure could negatively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continued development, maintenance and operation of our software and technologies are important factors impacting the success of our products and level of market acceptance. These efforts are expensive and complex and may involve unforeseen difficulties, including material performance problems and undetected defects or other technical or human errors. We may encounter technical obstacles, and it is possible that we may discover additional problems that prevent our software and technologies from operating properly. If our software or technologies, individually or collectively, do not function reliably or fail to meet clinician or payor expectations of performance or outcomes, then clinicians may stop using our products and payors could attempt to cancel their contracts with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Proprietary software development is time-consuming, expensive and complex, and may involve unforeseen difficulties. Our software may contain errors or vulnerabilities. Any real or perceived errors, failures, bugs or other vulnerabilities discovered in our existing or new software could result in negative publicity and damage to our reputation, loss of customers, loss of or delay in market acceptance of our products, loss of competitive position, loss of revenue or liability for damages, overpayments and/or underpayments, any of which could harm our business and results of operation.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information technology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changes in the techniques used to obtain unauthorized access to data and information systems, and the information technology needs associated with any new products and services. There can be no assurance that our process of consolidating, protecting, upgrading and expanding our systems and capabilities, continuing to build security into the design of our products, and developing new systems to keep pace with continuing changes in information processing technology will be successful or that additional systems issues will not arise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rely on the proper function, security and availability of our information technology systems and data to operate our business, and a breach, cyber-attack or other disruption to these systems or data could materially and adversely affect our business, results of operations, financial condition, cash flows, reputation or competitive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information technology systems to conduct our operations. In the ordinary course of our business, we use third parties to process and store, sensitive intellectual property and other proprietary business information. Because of this, we and our software are at risk for cyber-attacks. Cyber-attacks can result from deliberate attacks or unintentional events and may include (but are not limited to) malicious third parties gaining unauthorized access to our software for the purpose of misappropriating financial assets, intellectual property or sensitive information (such as patient data), corrupting data, or causing operational disruption.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rely on third-party vendors to supply and/or support certain aspects of our information technology systems. These third-party systems could also become vulnerable to cyber-attack, malicious intrusions, breakdowns, interference or other significant disruptions, and may contain defects in design or manufacture or other problems that could result in system disruption or compromise the information security of our own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taken numerous steps to ensure the protection of our devices and technology. We regularly engage each of our employees in data protection training, have enabled two-factor authentication, and do not distribute or share data across external systems. Furthermore, we take measures to ensure that our employees who come in contact with data or patients do not violate any standards involving the HIPAA or compromise a patient’s private health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While we believe that we have taken appropriate steps to protect our systems, there can be no assurance that our efforts will prevent service interruptions or security breaches in our systems or the unauthorized or inadvertent wrongful access or disclosure of confidential information that could have an adverse impact on our business, prospects,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results of operations and financial condition or result in the loss, dissemination, or misuse of critical or sensitive information. If we suffer from a cyber-attack, whether by a third party or insider, we may incur significant costs (including liability for stolen assets or information) and repairing any damage caused to our network infrastructure and systems. Additionally, theft of our intellectual property or proprietary business information could require substantial expenditures to remedy. Such theft could also lead to loss of intellectual property rights through our disclosure of our proprietary business information, and such loss may not be capable of remedying. We may also suffer reputational damage and loss of investor confidence. We could also be exposed to potential financial and reputational harm if we experience a cyber-attack.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COVID-19 pandemic increased the risk of cybersecurity intrusions. Our reliance on internet technology and the number of our employees who worked remotely during the pandemic created additional opportunities for cybercriminals to exploit vulnerabilities. For example, there was an increase in phishing and spam emails as well as social engineering attempts from “hackers” hoping to use the COVID-19 pandemic to their advantage. Furthermore, because the techniques used to obtain unauthorized access to, or to sabotage, systems change frequently and often were not recognized until launched against a target, we may be unable to anticipate these techniques or implement adequate preventative measures. We may also experience security breaches that may remain undetected for an extended period. If our systems are damaged or cease to function properly due to any number of causes, ranging from catastrophic events to power outages to security breaches, and our business continuity plans do not effectively compensate timely, we may suffer interruptions in our ability to manage operations, and would also be exposed to a risk of loss, including financial assets or litigation and potential liability. To the extent that any disruption or security breach were to result in a loss of, or damage to, our data or systems or data or systems of our commercial partners, or inappropriate or unauthorized access to or disclosure or use of confidential, proprietary, or other sensitive, personal, or health information, we could incur liability and suffer reputational harm. Failure to maintain or protect our information technology systems effectively could negatively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has been a developing trend of civil lawsuits and class actions relating to breaches of consumer data held by large companies or incidents arising from other cyber-attacks. Any data security breaches, cyber-attacks, malicious intrusions or significant disruptions could result in actions by regulatory bodies and/or civil litigation, any of which could materially and adversely affect our business, results of operations, financial condition, cash flows, reputation or competitive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maintain certain insurance coverage, our insurance may be insufficient or may not cover all liabilities incurred by such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exceeds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use of artificial intelligence, including machine learning, in our analytics platforms may result in reputational harm or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 is enabled by or integrated into the predictive analytics inherent in our DeepView platforms and will continue to be a substantial element of our product offerings going forward. As with many developing technologies, AI presents risks and challenges that could affect its further development, adoption, and use, and therefore our business. AI algorithms may be flawed and continual data propagation may prove ineffective. Data sets may be insufficient, of poor quality, or contain biased information. If the analyses that AI applications assist in producing are deficient or inaccurate, we could be subjected to competitive harm, potential legal liability, and brand or reputational harm. Some uses of AI present ethical issues, and our judgment as to the ethical concerns may not be accurate. If we use AI as part of our predictive analytics in a manner that is controversial because of the purported or real impact on our business or vendors, this may lead to adverse results for our financial condition and operations or the financial condition and operations of our business, which may further lead to us experiencing competitive harm, legal liability and brand or reputational harm.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supply products or services that are defectively designed or manufactured, or our products contain defective components or are misused, or if someone claims any of the foregoing, whether or not meritorious, we may become subject to substantial and costly litigation. Misusing our technology or failing to adhere to the operating guidelines or our device producing inaccurate or unreliable readings could cause significant harm to patients. In addition, if our operating guidelines are found to be inadequate, we may be subject to liability. Product liability claims could divert management’s attention from our core business, be expensive to defend and result in sizable damage awards against us. While we maintain product liability insurance, we may not have sufficient insurance coverage for all future claims. Any product liability claims brought against us, with or without merit, could increase our product liability insurance rates or prevent us from securing continuing coverage, could harm our reputation in the industry and could reduce revenue. Product liability claims in excess of our insurance coverage would be paid out of cash reserves harming our financial condition and adversely affecting our results of operations.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a claim or claims of a significant nature were made against us, we may be required to expend substantial management resources and litigation costs in defending such claim(s) and such claim(s), if successful, could reduce margins, harm our reputation in the market, and increase future insurance premiums, the occurrence of each of which could have an adverse impact on our business, prospects,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insurance policies are expensive and protect us only from some business risks, which leaves us exposed to significant uninsured liabilities.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maintain commercial insurance at a level we believe is appropriate against certain risks commonly insured in the industry in which we operate, there is no guarantee that our insurer will cover costs or that we will be able to obtain the desired level of coverage on acceptable terms in the future. The potential costs that could be associated with any shortfall of insurance coverage may cause delays and disruptions to our operations and the additional expenditure that we may incur could affect our earnings and competitive position in the future and, potentially, our financial position. We could suffer losses that may not be fully compensated by insurance. In addition, certain types of risk may be, or may become, either uninsurable or not economically insurable, or may not be currently or in the future covered by our insurance policies. Any of the foregoing could have an adverse impact on our business, prospects, results of operations and financial condition.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expect that operating as a U.S.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success of our algorithms depends on our significant repository of proprietary DFU and burn data.</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approximately 263 billion pixels of proprietary DFU and burn data have been acquired and utilized for the deep learning algorithms training. We believe this presents a significant barrier to entry to would-be competitors in wound care healing assessments. The data collection to clinical output, the flow, quality and control of the data pipeline is managed entirely by us. Our DeepView System uses deep learning on its wound data repository to recognize patterns and correlations of injured tissue spectral signatures to produce reliable and reasonable assessment for clinicians to make accurate and faster treatment decisions.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developed strategic partnerships with multiple clinical and academic partners in the United States and Europe. Through our strategic partnerships with multiple clinical and academic partners, we are able to access large, diverse and specific sets of wound data inputs to develop, validate and improve our DeepView algorithms efficiently and effectively. We believe we have the pre-eminent proprietary clinical wound database. The depth and quality of our proprietary data is critical to developing a leading wound assessment technology with demonstrated clinical need across burn, DFU and other indications with a positive impact on health economics and patient outcomes, while safeguarding patient data and privacy. If we were no longer able to access or receive this data, it would have a material adverse effect on our business, prospects, results of operations and financial condition.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further seek strategic alliances, joint ventures or collaborations, or enter into licensing or partnership arrangements in the future and may not be successful in doing so, and even if we are, we may not realize the benefits or costs of such relationships.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developed strategic partnerships with multiple clinical and academic partners and, in the future, we may further form or seek strategic alliances, create joint ventures or collaborations or enter into licensing or partnership arrangements with third parties that we believe will complement or augment our sales and marketing efforts with respect to our DeepView System or future products. We may not be successful in our efforts to establish such collaborations, and we may not achieve the benefits expected from our current strategic partnerships or future collaborations. Any of these relationships may require us to incur non-recurring and other charges, indemnify the counterparty,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our products.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tour sales and marketing efforts, which would harm our business prospects,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may not have sole decision-making authority with respect to any such collaboration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averse to our best interest, and they may breach their obligations to us. In addition, we have limited control over the amount and timing of resources that our current collaborators or any future collaborators devote to our collaborators’ or our future products and technologies.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international expansion of our business occurs in future years, it will expose us to market, regulatory, political, operational, financial and economic risks associated with doing business outside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long-term strategy is to increase our international presence, including securing regulatory clearances or approvals in targeted countries outside the United States. This strategy may include establishing and maintaining clinician outreach and education capabilities outside of the United States and expanding our relationships with international payors. Doing business internationally involves a number of risks,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staffing and managing our international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multiple, conflicting and changing laws and regulations such as tax laws, privacy laws, export and import restrictions, employment laws, regulatory requirements and other governmental clearances, approvals, permits and licenses;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or varied protection for intellectual property rights in some countries;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regulatory clearance, approval or certification where required for our products in various countries;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requirements to maintain data and the processing of that data on servers located within such countries;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complexities associated with managing multiple payor reimbursement regimes, government payors or patient self-pay systems;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limits on our ability to penetrate international markets if we are required to manufacture our products locally;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risks, such as longer payment cycles, difficulty collecting accounts receivable, foreign tax laws and complexities of foreign value-added tax systems, the effect of local and regional financial pressures on demand and payment for our products and exposure to foreign currency exchange rate fluctuations;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the site-of-service for use of our products and the economics related thereto for clinicians, providers and payors;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natural disasters, political and economic instability, including wars, terrorism, political unrest, outbreak of disease, boycotts, curtailment of trade and other market restrictions;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and compliance risks that relate to maintaining accurate information and control over activities subject to regulation under the United States Foreign Corrupt Practices Act of 1977, or FCPA, U.K. Bribery Act of 2010 and comparable laws and regulations in other countries.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factors could significantly harm our future international expansion and operations and, consequently,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Intellectual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obtain and maintain patent or other intellectual property protection for any products we develop or for our technology, or if the scope of the patent and other intellectual property protection obtained is not sufficiently broad, our competitors could develop and commercialize products and technology similar or identical to ours, and our ability to successfully commercialize any products we may develop, and our technology, may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one of our key strengths is our market leading technology, including our proprietary AI algorithms and optical technology. In order to remain competitive, we must develop, maintain, and protect the proprietary aspects of our brands, technologies, data, and products. We rely on a combination of contractual provisions, confidentiality procedures, patent, copyright, trademark, trade secret, and other intellectual property laws to protect the proprietary aspects of our brands, technologies, data, and products. These legal measures afford only limited protection, and competitors or others may gain access to or use our intellectual property and proprietary information. Any failure to obtain or maintain patent and other intellectual property protection with respect to our products could harm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technology is protected with issued and/or allowed patents across nine families of active patents: (i) Burn/Wound Classification on MSI and PPG; (ii) Tissue classification on MSI and PPG; (iii) Amputation site analysis on MSI, ML and healthcare matrix; (iv) DFU healing potential prediction and wound assessment on MSI, ML and healthcare matrix; (v) High-precision, multi-aperture, MSI snapshot imaging; (vi) Wound assessment based on MSI; (vii) Burn/histology assessment based on MSI and ML; (viii) High-precision, single-aperture MSI snapshot imaging; and (ix) Topological characterization and assessment of tissues using MSI and ML.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have 10 issued and allowed U.S. patents with five U.S. patent applications pending. We have 10 issued and allowed international patents with 29 foreign and international patent applications pending. We protect our DeepView System trademarks primarily in four classes: pre-recorded/downloadable software, surgical, medical apparatus, computer and scientific services and medical and healthcare services. As of March 31, 2023, we maintain a portfolio of 57 trademarks and seven trademark applications pending relating to our DeepView and SnapShot product offerings. Our trademarks and pending trademark applications are spread over nine jurisdictions mostly in China, the UK and the EU. It is our intention to maintain these registrations indefinitely and to expand the number of jurisdictions in which we have registered trademarks as deemed necessary to protect our freedom to use the marks and/or block competitors in additional markets. We will continue to primarily focus on protecting our intellectual property in the United States, UK and the EU as those are the first commercial markets for our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cannot assure you that our intellectual property position will not be challenged or that all patents for which we have applied will be granted. As with other medical device companies, our success depends, in part, on our ability to obtain, maintain, expand, enforce, and defend the scope of our intellectual property portfolio or other proprietary rights, including the amount and timing of any payments we may be required to make in connection with the licensing, filing, maintaining, defense and enforcement of any patents or other intellectual property rights. The process of applying for and obtaining a patent is expensive, time-consuming and complex, and we may not be able to file,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prosecute, maintain, enforce, or license all necessary or desirable patents or patent applications at a reasonable cost, in a timely manner, or in all jurisdictions where protection may be commercially advantageous, or we may not be able to protect our proprietary rights at all.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such agreements and disclose such output before a patent application is filed, thereby jeopardizing our ability to seek and obtain patent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products or research and development results before it is too late to obtain patent protection. While the imaging modality — SnapShot MSI system and proprietary illumination system — are patent protected, our AI algorithm used in the system is not patent protected. The device performance is supported by the proprietary clinical data owned by Spectral. The loss or disclosure of both the data and the algorithm could be detrimental to the future development and competitive advantage of our DeepView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 Despite our efforts to protect our proprietary rights, unauthorized parties may be able to obtain and use information that we regard as proprietary. In addition, the issuance of a patent is not conclusive as to its inventorship, validity or enforceability, and our patents may be challenged in the courts or patent offices in the United States and abroad, so even if we obtain patents, they may not provide us with adequate proprietary protection or competitive advantage against our competitors with similar products. Our patent applications may not result in issued patents and our patents may not be sufficiently broad to protect our technology or to prevent competitive technologies. In addition, the laws of foreign jurisdictions may not protect our rights to the same extent as the laws of the United States. For example, certain countries outside of the United States do not allow patents for methods of treating the human body. This may preclude us from obtaining method patents outside of the United States having similar scope to those we have obtained or may obtain in the future in the United States. Changes in either the patent laws or their interpretation in the United States and other countries may diminish our ability to protect our inventions, obtain, maintain, and enforce our intellectual property rights and, more generally, could affect the value or validity of our intellectual property or narrow the scope of our patent protection. Additionally, we cannot predict whether the patent applications we are currently pursuing will issue as patents in any particular jurisdiction or whether the claims of any issued patents will provide sufficient protection from competitors or other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even if we are able to obtain patent protection, such patent protection may be of insufficient scope to achieve our business objectives. The strength of patent rights generally, and particularly the patent position of medical device companies, involves complex legal, factual and scientific questions and can be uncertain, and has been the subject of much litigation in recent years. This uncertainty includes changes to the patent laws through either legislative action to change statutory patent law or court action that may reinterpret existing law or rules in ways affecting the scope or validity of issued patents. Even if patents do successfully issue from our patent applications, third parties may challenge the validity, enforceability, or scope of such patents, which may result in such patents being narrowed, invalidated, or held unenforceable. Decisions by courts and governmental patent agencies may introduce uncertainty in the enforceability or scope of patents owned by or licensed to us. Furthermore, the issuance of a patent does not give us the right to practice the patented invention. Third parties may also have blocking patents that could prevent us from marketing our own products and practicing our own technology. We may not be aware of all third-party intellectual property rights (for example, not be aware of a patent or not be aware of a patent’s scope) potentially relating to our products, product candidates or their intended uses, and as a result the impact of such third-party intellectual property rights upon the patentability of our own patents and patent applications, as well as the impact of such third-party intellectual property upon our ability to market our products without infringing third party patent rights, is highly uncertain. We cannot ensure that we do not infringe any patents or other proprietary rights held by others. If our products were found to infringe any proprietary right of another party, we could be required to pay significant damages or license fees to such party and/or cease production, marketing and distribution of those products.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 may also be necessary to defend infringement claims of third parties or to enforce patent rights we hold or protect trade secrets or techniques we own. Further,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will also depend, in part, on preserving our trade secrets, maintaining the security of our data and know-how, and obtaining and maintaining other intellectual property rights. We rely on trade secret protection and confidentiality agreements for strategic purposes, to protect proprietary know-how that is not patentable,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There can be no assurances that we can meaningfully protect or maintain intellectual property, trade secrets or other unpatented proprietary rights necessary to our business or in a form that provides us with a competitive advantage, or that others will not independently develop substantially equivalent proprietary products or processes or otherwise gain access to our proprietary technology. In addition, our trade secrets, data, and know-how could be subject to unauthorized use, misappropriation, or disclosure to unauthorized parties, despite our efforts to enter into confidentiality agreements with our employees, consultants, clients, and other vendors who have access to such information, and could otherwise become known or be independently developed or discovered by third parties. Our intellectual property, including trademarks, could be challenged, invalidated, infringed, and circumvented by third parties, and our trademarks could also be diluted, declared generic or found to be infringing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 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products or any future products we may develop. The acquisition or licensing of third-party intellectual property rights is a competitive area, and our competitors may pursue strategies to acquire or license third-party intellectual property rights that we may consider attractive or necessary, and our competitors could market competing products and technology.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 and our customers may be forced to stop using the relevant product, which could harm our business, financial condition, prospects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in the future, be a party to intellectual property litigation or administrative proceedings that are very costly and time-consuming and could interfere with our ability to sell and market our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medical device industry is highly competitive and has been characterized by extensive litigation regarding patents, trademarks, trade secrets, and other intellectual property rights, and companies in the industry have used intellectual property litigation to gain a competitive advantage. It is possible that U.S. and foreign patents, along with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(or components thereof) or to use our technologies or our product names.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parties, including our competitors, may currently have patents or obtain patents in the future and claim that the manufacture, use or sale of our products infringes these patents. We have not conducted an extensive search of patents issued or assigned to other parties, including our competitors, and no assurance can be given that patents containing claims relating to our products, parts of our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that may result in issued patents that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time-consuming, costly to defend, divert management’s attention and resources, damage our reputation and brand and cause us to incur significant expenses or make substantial payments. Vendors from which we purchase hardware or software may not indemnify us in the event that such hardware or software is accused of infringing a third-party’s patent or trademark or of misappropriating a third-party’s trade secret.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patent applications are confidential for a period of time after filing, we cannot be certain that we were the first to file any patent application related to our products. Competitors may also contest our patents in court, at an administrative agency, or at the patent office, if issued, by proving that the invention was not original, was not novel, was obvious, or was obtained without disclosing all pertinent material prior art information to the patent office, among other reasons. For example, in litigation, a competitor could claim that our patents, if issued, are not valid for a number of reasons or are unenforceable due to inequitable conduct. If a court agreed, we would lose our rights to those challenged patents.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in the future be subject to claims by our former employees or consultants asserting an ownership right in our patents or patent applications, as a result of the work they performed on our behalf. Although we generally require all of our employees and consultants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if third party claims of patent or trademark infringement or trade secret misappropriation are successfully asserted against us, such claims may harm our business, result in injunctions preventing us from selling our products, and require payment of license fees, damages, attorneys’ fees, and court costs, which may be substantial and have a material adverse impact on our business. In addition, if we are found to have willfully infringed third-party patents or trademarks or to have misappropriated trade secrets, we could be required to pay treble damages in addition to other penalties. Although patent, trademark, trade secret, and other intellectual property disputes in the medical device area have often been settled through licensing or similar arrangements, costs associated with such arrangements may be substantial and could include ongoing royalties that may substantially erode our margins. Further, we may be unable to obtain necessary licenses on satisfactory terms, if at all. If we do not obtain necessary licenses, we may not be able to redesign our products to avoid infringement, and as such may need to stop selling the infringing products, which would have a significant adverse impact on our business, financial condition, prospects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Similarly, interference, derivation, cancellation, and opposition proceedings provoked by third parties or brought by the U.S. Patent and Trademark Office (USPTO) may be necessary to determine priority with respect to our patents, patent applications, trademarks, or trademark applications. We may also become involved in other proceedings, such as reexamination, inter partes review, post-grant review, derivation, interference, supplemental examination, cancellation or opposition proceedings before the USPTO or other jurisdictional body relating to our intellectual property rights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the intellectual property rights of others. Such challenges may result in loss of exclusivity or ability to make, use, and sell our products without infringing third-party intellectual property rights, or in patent claims being narrowed, invalidated or held unenforceable, in whole or in part, which could limit our ability to stop others from using or commercializing similar or identical products and techniques without payment to us, or limit the duration of the patent protection of our technology. Adverse determinations in a judicial or administrative proceeding or failure to obtain necessary licenses or rights could prevent us from using, selling, manufacturing, or importing our products or using product names, which would have a significant adverse impact on our business, financial condition, prospects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may file lawsuits or initiate other proceedings to protect or enforce our patents, trademarks, or other intellectual property rights, which could be expensive, time consuming and unsuccessful. Former, current, or future licensees may violate the terms of their licenses and thereby infringe our intellectual property. Competitors may infringe our issued patents, trademarks, or other intellectual property. To counter infringement or unauthorized use by licensees, competitors, or other parties, we may be required to file infringement or misuse claims, which can be expensive and time-consuming. Any claims we assert against perceived infringers could provoke these parties to assert counterclaims or file administrative actions against us alleging that we infringe their intellectual property.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Furthermore, even if our patents or trademarks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an adverse result in any litigation proceeding or administrative action could put one or more of our patents at risk of being invalidated or interpreted narrowly, which could adversely affect our competitive business position, financial condition, and results of operations. In addition, although we make efforts to comply with the patent marking provisions of 35 U.S.C. § 287(a), a court may decide that we have not met the requirements of the patent marking statute, which may prevent us from obtaining monetary damages that would otherwise have been due to us if we had complied with the marking statute.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Protracted litigation to defend or prosecute our intellectual property rights could also result in our customers or potential customers deferring or limiting their purchase or use of the affected products until resolution of the litigation. In addition, there could be public announcements of the results of hearings, motions or other interim proceedings or developments and if securities analysts or investors perceive these results to be negative, it could have a substantial negative impact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harm our business, financial condition, prospects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third parties may assert infringement claims against our customers. These claims may require us to initiate or defend protracted and costly litigation on behalf of our customers or indemnify our customers for any costs associated with their own initiation or defense of infringement claims, regardless of the merits of these claims. If any of these claims succeeds or settles,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Obtaining and maintaining intellectual property, including patent protection, depends on compliance with various procedural, document submission, fee payment and other requirements imposed by governmental agencies, and our intellectual property, including patent protection, could be reduced or eliminated for non-compliance with these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USPTO, United States Copyright Office (USCO) and various foreign governmental agencies require compliance with a number of procedural, documentary, fee payment and other similar provisions during the application process. In addition, periodic maintenance fees, renewal fees, annuity fees and various other government fees often must be paid to the USPTO, USCO and foreign agencies over the lifetime of any registered or applied-for intellectual property rights we may obtain in the future. While an unintentional lapse of an intellectual property registration or application can in many cases be cured by payment of a late fee or by other means in accordance with the applicable rules, there are situations in which noncompliance can result in abandonment or lapse of the registration or application, resulting in partial or complete loss of intellectual property rights in the relevant jurisdiction. Non-compliance events that could result in abandonment or lapse of a registration or application include, but are not limited to, failure to respond to official actions within prescribed time limits, non-payment of fees and failure to properly legalize and submit formal documents. If we fail to maintain the intellectual property registrations and applications covering our products, we may not be able to stop a competitor from developing or marketing products that are the same as or similar to our products, which would have a material adverse effect on our business. We also have a duty to disclose to the USPTO any prior art known to us that may be material to the patentability of our patents. If we failed to submit any such material prior art, a court or administrative agency may deem one or more of our patents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certain of our patent applications relate to software inventions. Software-related patents in general are susceptible to validity or patentability challenges before the USPTO or in other judicial or quasi-judicial proceedings for being directed to non-statutory subject matter under 35 U.S.C. § 101.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Patent terms may be inadequate to protect our competitive position on our products for an adequate amount of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Patents have a limited lifespan. The terms of individual patents depend upon the legal term for patents in the countries in which they are granted. In most countries, including the United States, if all maintenance fees are timely paid, the natural expiration of a utility patent is generally 20 years from its earliest non-provisional filing date in the applicable country. However, the actual protection afforded by a patent varies from country to country, and depends upon many factors, including the type of patent, the scope of its coverage, voluntary disclaimer of patent term to obtain a patent’s allowance, the availability of regulatory-related extensions, the availability of legal remedies in a particular country and the validity and enforceability of the patent. Various extensions may be available, but the life of a patent, and the protection it affords, is limited. Even if patents covering our products are obtained, once the patent life has expired, we may be open to competition from competitive products, which may harm our business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although upon issuance in the United States a patent’s term can be extended based on certain delays caused by the USPTO, this extension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terms to protect our products, proprietary technologies and their uses, our business would be seriously harmed.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patent law or its interpretation could diminish the value of patents in general, thereby impairing our ability to protect our existing and future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Patent reform legislation could increase the uncertainties and costs surrounding the prosecution of patent applications and the enforcement or defense of issued patents. In 2011, the Leahy-Smith America Invents Act (the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post-grant proceedings. Under a first-to-file system,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products or invent any of the inventions claimed in our patents or patent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Leahy-Smith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prospects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patent rights and other intellectual property may be subject to priority, ownership or inventorship disputes, interferences, and similar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be subject to claims that former employees, collaborators, or other third parties have an interest in our patents and patent applications or other intellectual property as an inventor or co-inventor. If we are unable to obtain an exclusive license to any such third-party co-owners’ interest in such patents and patent applications, such co-owners’ rights may be subject, or in the future subject, to assignment or license to other third parties, including our competitors. In addition, we may need the cooperation of any such co-owners to enforce any such patents and any patents issuing from such patent applications against third parties, and such cooperation may not be provided to us.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to us are ineffective or in conflict with prior or competing contractual obligations to assign inventions to another employer, to a former employer, or to another person or entity, despite our inclusion of valid, present-tense intellectual property assignment obligations. Litigation may be necessary to defend against claims, and it may be necessary or we may desire to enter into a license to settle any such claim.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 candidates. Even if we are successful in priority, inventorship or ownership disputes, it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prospects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claims that our employees, consultants, advisors, or contractors have misappropriated the intellectual property of a third party, including trade secrets or know-how, or are in breach of a non-competition or non-solicitation agreement with our competitors, and third parties may claim an ownership interest in intellectual property we regard as our own. Such claims could harm our business, financial condition, prospects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common in the medical device industry, our employees, consultants, and advisors may be currently or previously employed or engaged at universities or other medical device or healthcare companies, including our competitors and potential competitors. Some of these employees, consultants, advisors, and contractors may have executed proprietary rights, non-disclosure, and non-competition agreements in connection with such previous employment. Although we try to ensure that our employees, consultants, advisors, and contractors do not use the intellectual property, proprietary information, know-how or trade secrets of others in their work for us, we may in the future become subject to claims that we or these individuals have, inadvertently or otherwise, misappropriated the intellectual property, including trade secrets or other proprietary information, of their current or former employers, competitors or other third parties. Also, we may in the future be subject to claims that these individuals are violating non-compete agreements with their former employers. Litigation may be necessary to defend against these claims. If we fail to defend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while it is our policy to require our employees, vendors,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may be ineffective under current or future case law, or the assignment agreements may be breached, and we may be forced to bring claims against third parties, or defend claims that they may bring against us, to determine the ownership of what we regard as our intellectual property. Such defects in assignment or resulting claims could harm our business, financial condition, prospects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validly execute invention assignment agreements with our employees and contractors involved in the development of intellectual property or are unable to protect the confidentiality of our trade secrets and other proprietary information, the value of our products our business and competitive position may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to patent protection, we also rely on other proprietary rights, including protection of trade secrets, know-how, and other confidential and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generally have confidentiality and invention assignment provisions in contracts with our employees, consultants, suppliers, contract manufacturers, collaborators, and others upon the commencement of their relationship with us. However, we may not enter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confidential 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proprietary information. There can be no assurance that such third parties will not breach their agreements with us, that we will have adequate remedies for any breach, or that our trade secrets or proprietary technology and processes will not otherwise become known or independently developed by competitors.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Despite the protections we do place on our intellectual property or other confidential and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our intellectual property or other proprietary information protection is incomplete, we are exposed to a greater risk of direct competition. A third-party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research and development or acquisitions could be reduced, and third parties might make claims against us related to losses of their confidential or proprietary information. Any of the foregoing could materially and adversely affect our business, financial condition, prospects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it is possible that others will independently develop the same or similar technology or otherwise obtain access to our unpatented technology, and in such cases, we could not assert any trade secret rights against such parties. Unauthorized parties may also attempt to copy or reverse engineer certain aspects of our products that we consider proprietary.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 Even though we use commonly accepted security measures, trade secret violations are often a matter of state law, and the criteria for protection of trade secrets can vary among different jurisdictions.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such breach.</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enforce our intellectual property rights throughout the world.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current or future products or trademarks, and our patents, trademarks or other intellectual property rights may not be effective or sufficient to prevent them from competing.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companies have encountered significant problems in protecting and defending intellectual property rights in certain foreign jurisdictions. The legal systems of certain countries, particularly certain developing countries, may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 rights in foreign jurisdictions could result in substantial costs and divert our efforts and attention from other aspects of our business, could put our patents and trademarks at risk of being invalidated or interpreted narrowly, and could provoke third parties to assert claims against us. We may not prevail in any lawsuits that we initiate, and the damages or other remedies awarded, if any, may not be commercially meaningful. In addition, certain countries in Europe and many other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trademarks and trade names are not adequately protected, then we may not be able to build name recognition in our markets of interest and our business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trademarks and trade names to build brand recognition and to promote, distinguish and market our products and services. Our current or future registered and unregistered trademarks or trade names may be challenged, opposed, infringed, circumvented or declared generic or descriptive, determined to be not entitled to registration, or determined to be infringing other marks. We may not be able to protect our rights to these trademarks and trade names or may be forced to stop using these names or logos,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If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in the future license our trademarks and trade names to third parties.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and service marks may be ineffective and could result in substantial costs and diversion of resources and could adversely affect our financial condition or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 litigation can be expensive, and the outcome can be highly uncertain.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the use of such trademarks.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obtain licenses from third parties on commercially reasonable terms or fail to comply with our obligations under such agreements, our business could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It may be necessary for us to use the patented or proprietary technology of third parties to commercialize our products, in which case we would be required to obtain a license from these third parties. The licensing or acquisition of third-party intellectual property rights is a competitive area, and several more established companies may pursue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such technology, or if we are forced to license such technology, on unfavorable terms, our business could be harmed. If we are unable to obtain a necessary license, we may be unable to develop or commercialize the affected product candidates, which could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thereby giving our competitors access to the same technologies licensed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some of our patents and patent applications in the future may be jointly owned with third parties. If we are unable to obtain an exclusive license to any such third-party joint owners’ interest in such patents or patent applications, such joint owners may be able to license their rights to other third parties, including our competitors, who could market competing products and technology. In addition, we may need the cooperation of any such joint owners in order to enforce such patents against third parties, and such cooperation may not be provided to us. Any of the foregoing could harm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third-party manufacturers do not respect our intellectual property and trade secrets and produce or sell competitive products using our designs or intellectual property, our business, financial condition, prospects and results of operation would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our agreements with third-party manufacturing partners generally seek to preclude them from misusing our intellectual property and trade secrets, or using our designs to manufacture products for our competitors, we may be unsuccessful in monitoring and enforcing our intellectual property rights and may find counterfeit goods in the market being sold as our products and any future products similar to ours produced for our competitors using our intellectual property. Additionally, any steps to stop counterfeits may not be successful and customers who purchase these counterfeit goods may experience product defects or failures, harming our reputation and brand and causing us to lose future sales. Any of the foregoing could harm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Intellectual property rights do not necessarily address all potential threats, and limitations in intellectual property rights could harm our business, financial condition, prospects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others may be able to make products that are similar to our products or utilize similar technology but that are not covered by the claims of our patents or that incorporate certain technology in our products that is in the public domain;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or our future licensors or collaborators, might not have been the first to make the inventions covered by the applicable issued patent or pending patent application that we own now or may own or license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or our future licensors or collaborators, might not have been the first to file patent applications covering certain of our or their inventions;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or our future licensors or collaborators, may fail to meet our obligations to the U.S. government regarding any future patents and patent applications funded by U.S. government grants, leading to the loss or unenforceability of patent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others may independently develop similar or alternative technologies or duplicate any of our technologies without infringing our intellectual property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possible that our patents or patent applications omit individuals who should be listed as inventors or include individuals that should not be listed as inventors, which may cause these patents or patents issuing from these patent applications to be held invalid or unenforceable;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claims of our patents or patent applications, if and when issued, may not cover our products or technologies or competitive products or technologies;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inventors of our patents or patent applications may become involved with competitors, develop products or processes that design around our patents, or become hostile to us or the patents or patent applications on which they are named as inventors;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engaged in scientific collaborations in the past and will continue to do so in the future and our collaborators may develop adjacent or competing products that are outside the scope of our patents;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develop additional proprietary technologies that are patentable;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patents of others may harm our business;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choose not to file a patent in order to maintain certain trade secrets or know-how, and a third-party may subsequently file a patent covering such 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foregoing could harm our business, financial condition, prospects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contracts with BARDA and DHA may affect our intellectual property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contracts with BARDA and DHA include provisions that implement the Bayh-Dole Act of 1980 relating to a uniform patent policy among the many federal agencies funding research, which grants the U.S. government certain rights in inventions that may be conceived or first actually reduced to practice under the contract. In particular, pursuant to the Federal Acquisition Regulations which governs executive agencies acquisition of services with appropriated funds, the U.S. government is granted a nonexclusive, nontransferable, irrevocable, paid-up, worldwide license to practice such inventions or have such inventions practiced for or on behalf of the U.S. government. In addition to our intellectual property rights, the BARDA and DHA contracts each provide certain data rights to the U.S. government with unlimited rights in: (i) data first produced in the performance of this contract; (ii) form, fit, and function data delivered under the contract; (iii) data delivered under this contract (except for restricted computer software) that constitute manuals or instructional and training material for installation, operation, or routine maintenance and repair of items, components, or processes delivered or furnished for use under this contract; and (iv) all other data delivered under this contract unless provided otherwise for limited rights data or restricted computer software.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Nasdaq may delist our securities from trading on its exchange, which could limit investors’ ability to make transactions in our securities and subject us to additional trading restrictions.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our securities will continue to be listed on Nasdaq. If any of our securities are delisted from trading on its exchange and we are not able to list our securities on another national securities exchange, we expect such securities could be quoted on an over-the-counter market. If this were to occur, we could face significant material adverse consequences,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availability of market quotations for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liquidity for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determination that our Common Stock are a “penny stock” which will require brokers trading in our Common Stock to adhere to more stringent rules and possibly result in a reduced level of trading activity in the secondary trading market for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amount of news and analyst coverage;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decreased ability to issue additional securities or obtain additional financing in the future.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listing of our securities on Nasdaq did not benefit from the process undertaken in connection with an underwritten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and our Warrants are listed on the Nasdaq under the symbols “MDAI” and “MDAIW,” respectively. Unlike an underwritten initial public offering of our securities, the initial listing of our securities as a result of the Business Combination did not benefit from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book-building process undertaken by underwriters that helps to inform efficient price discovery with respect to opening trades of newly listed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underwriter support to help stabilize, maintain or affect the public price of the new issue immediately after listing;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underwriter liability for material misstatements or omissions of fact in a prospectus used in connection with the securities being offered or for statements made by the underwriters’ securities analysts or other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lack of such a process in connection with the listing of our securities could result in diminished investor demand, inefficiencies in pricing and a more volatile public price for our securities in the near future than in connection with an underwritten initial public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incur increased costs as a result of operating as a U.S. public company, and the Company’s management will be required to devote substantial time to new compliance and investor relations initiatives.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U.S. public company, the Company has and will continue to incur significant legal, accounting and other expenses that Legacy Spectral did not incur as a U.K. listed public company. The Company is subject to the reporting requirements of the Exchange Act and the Sarbanes-Oxley Act. The Exchange Act requires the filing of annual, quarterly and current reports with respect to a public company’s business and financial condition. The Sarbanes-Oxley Act, as well as rules subsequently adopted by the SEC and Nasdaq to implement provisions of the Sarbanes-Oxley Act, require, among other things, that a public company establish and maintain effective disclosure and financial controls. As a result, the Company has and will continue to incur significant legal, accounting and other expenses that Legacy Spectral did not previously incur. The Company’s entire management team and many of its other employees will need to devote substantial time to compliance, and may not effectively or efficiently manage its transition into a U.S.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pursuant to the Dodd-Frank Wall Street Reform and Consumer Protection Act of 2010, the SEC has adopted additional rules and regulations in these areas, such as mandatory “say on pay” voting requirements that will apply to the Company when the Company ceases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the Company operates its business in ways it cannot currently anticipate.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expects the rules and regulations applicable to public companies to lead to increased legal and financial compliance costs and to make some activities more time-consuming and costly. If these requirements divert the attention of the Company’s management and personnel from other business concerns, they could have a material adverse effect on the Company’s business, financial condition and results of operations. The increased costs will decrease the Company’s net income or increase the Company’s net loss, and may require the Company to reduce costs in other areas of the Company’s business or increase the prices of the Company’s services. The Company cannot predict or estimate the amount or timing of additional costs it may incur to respond to these requirements. The impact of these requirements could also make it more difficult for the Company to attract and retain qualified persons to serve on its board of directors, board committees or as executive officers.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Anti-takeover provisions in our governing documents and under Delaware law could make an acquisition of us more difficult.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the Bylaws and Delaware law contain provisions that could have the effect of rendering more difficult, delaying, or preventing an acquisition deemed undesirable by the Company’s board of directors. Among other things, the Charter and/or the Bylaws include the following provisions: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limitations on convening special stockholder meetings, which could make it difficult for our stockholders to adopt desired governance changes;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prohibition on stockholder action by written consent, which means that our stockholders will only be able to take action at a meeting of stockholders and will not be able to take action by written consent for any matter;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forum selection clause, which means certain litigation against us can only be brought in the State of Delaware;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authorization of undesignated preferred stock, the terms of which may be established and shares of which may be issued without further action by our stockholders;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 notice procedures, which apply for stockholders to nominate candidates for election as directors or to bring matters before an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alone or together, could delay or prevent hostile takeovers and changes in control or changes in our management. As a Delaware corporation, we are also subject to provisions of Delaware law, including Section 203 of the DGCL, which prevents interested stockholders, such as certain stockholders holding more than 15% of our outstanding common stock, from engaging in certain business combinations unless (i) prior to the time such stockholder became an interested stockholder, the board of directors approved the transaction that resulted in such stockholder becoming an interested stockholder, or (ii) upon consummation of the transaction that resulted in such stockholder becoming an interested stockholder, the interested stockholder owned at least 85% of the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provision of the Charter, the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Charter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provides that unless we consent in writing to the selection of an alternative forum,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or proceeding brought on behalf of the Company, (ii) any action, suit or proceeding asserting a claim of breach of a fiduciary duty owed by any current or former director, officer or other employee, agent or stockholder of the Company to the Company or to the Company’s stockholders, (iii) any action, suit or proceeding asserting a claim against the Company, its current or former directors, officers, or employees, agents or stockholders arising pursuant to any provision of the DGCL or our Charter or Bylaws, or (iv) any action, suit or proceeding asserting a claim against the Company, its current or former directors, officers, or employees, agents or stockholders governed by the internal affairs doctrine.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exclusive forum provision set forth above does not apply to, and does not preclude or contract the scope of, either (i) exclusive federal jurisdiction pursuant to Section 27 of the Exchange Act for claims seeking to enforce any liability or duty created by the Exchange Act or the rules and regulations thereunder, or any other claim for which the U.S. federal courts have exclusive jurisdiction, or (ii) concurrent jurisdiction under Section 22 of the Securities Act for federal and state courts over all claims seeking to enforce any liability or duty created by the Securities Act or the rules and regulations thereunder. Our stockholders will not be deemed to have waived our compliance with the federal securities laws and the rules and regulations thereunder.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choice of forum provision may limit a stockholder’s ability to bring, and increase the cost of,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failure of any bank in which we deposit our funds could have an adverse effect on our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deposit substantial funds in financial institutions and may, from time to time, maintain cash balances at such financial institutions in excess of the Federal Deposit Insurance Corporation limit. In recent months, there has been significant volatility and instability among banks and financial institutions. For example, on March 10, 2023, Silicon Valley Bank (“SVB”) was closed by the California Department of Financial Protection and Innovation, which appointed the Federal Deposit Insurance Corporation, or the FDIC, as receiver, and for a period of time, customers of the bank did not have access to their funds and there was uncertainty as to when, if at all, customers would have access to funds in excess of the FDIC insured amounts. Although we did not maintain any funds at SVB, should one or more of the financial institutions at which deposits are maintained fail, there is no guarantee as to the extent that we would recover the funds deposited, whether through Federal Deposit Insurance Corporation coverage or otherwise, or the timing of any recovery.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Ownership of Our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price of Common Stock and Warrants may be volatile.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Fluctuations in the price of the Company’s securities could contribute to the loss of all or part of your investment. The valuation ascribed to the Company in the Business Combination may not be indicative of the price that will prevail in the trading market. If an active market for our securities develops and continues, the trading price of the Company’s securities could be volatile and subject to wide fluctuations in response to various factors, some of which are beyond our control. Any of the factors listed below could have a material adverse effect on your investment in our securities and the Company’s securities may trade at prices significantly below the price you paid for them. In such circumstances, the trading price of our securities may not recover and may experience a further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Factors affecting the trading price of the Company’s securities may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or anticipated fluctuations in our quarterly financial results or the quarterly financial results of companies perceived to be similar to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market’s expectations about the Company’s operating results;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success of competitors;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public’s reaction to our press releases, other public announcements and filings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results failing to meet the expectations of securities analysts or investors in a particular period;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financial estimates and recommendations by securities analysts concerning the Company or the industry in which the Company operates in general;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and stock price performance of other companies that investors deem comparable to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ability to market new and enhanced products and services on a timely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laws and regulations affecting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commencement of, or involvement in, litigation involving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Company’s capital structure, such as future issuances of securities or the incurrence of additional debt;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volume of shares of the Company’s common stock available for public sale;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major change in the Company’s board or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of substantial amounts of the Company’s common stock by our directors, executive officers or significant stockholders or the perception that such sales could occur;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political conditions such as recessions, changes in interest rates, changes in fuel prices, international currency fluctuations and acts of war or terrorism.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 market and industry factors may materially harm the market price of our securities irrespective of our operating performance. The stock market in general, and Nasdaq specifically, have experienced extreme volatility that has often been unrelated to the operating performance of particular companies. As a result of this volatility, you may not be able to sell your securities at or above the price at which it was acquired. A loss of investor confidence in the market for the stocks of other companies which investors perceive to be similar to the Company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laws, regulations or rules, or a failure to comply with any laws, regulations or rules, may adversely affect our business, investments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subject to laws, regulations and rules enacted by national, regional and local governments and the Nasdaq. In particular, Company is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Company’s business, investments and results of operations. In addition, a failure to comply with applicable laws, regulations or rules, as interpreted and applied, could have a material adverse effect on Company’s business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internal controls over financial reporting are necessary for the Company to provide reliable financial reports and, together with adequate disclosure controls and procedures, are designed to prevent fraud. Any failure to implement required new or improved controls, or difficulties encountered in their implementation could cause the Company to fail to meet its reporting obligations. In addition, any testing by the Company conducted in connection with Section 404 of the Sarbanes-Oxley Act (“Section 404”) or any subsequent testing by the Company’s independent registered public accounting firm, may reveal deficiencies in the Company’s internal controls over financial reporting that are deemed to be material weaknesses or that may require prospective or retroactive changes to the Company’s financial statements or identify other areas for further attention or improvement. Inferior internal controls could also cause investors to lose confidence in the Company’s reported financial information, which could have a negative effect on the trading price of the Company’s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as long as the Company is an emerging growth company, its independent registered public accounting firm will not be required to attest to the effectiveness of its internal controls over financial reporting pursuant to Section 404. An independent assessment of the effectiveness of the Company’s internal controls over financial reporting could detect problems that the Company’s management’s assessment might not detect. Undetected material weaknesses in the Company’s internal controls over financial reporting could lead to restatements of the Company’s consolidated financial statements and require the Company to incur the expense of remediation.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Company is not able to comply with the requirements of Section 404 in a timely manner or it is unable to maintain proper and effective internal controls over financial reporting may not be able to produce timely and accurate consolidated financial statements. As a result, the Company’s investors could lose confidence in its reported financial information, the market price of the Common Stock could decline and the Company could be subject to sanctions or investigations by the SEC or other regulatory authorities.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analysts do not publish research or reports about us, or if they issue unfavorable commentary about us or our industry or downgrade our Common Stock, the price of our Common Stock could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our Common Stock will depend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Company is a holding company and our only significant asset is our ownership interest in our subsidiaries and such ownership may not be sufficient to pay dividends or make distributions or loans to enable us to pay any dividends on the Common Stock or satisfy our other financial obligations, including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holding company with no material assets other than its ownership of our subsidiaries. As a result, the Company has no independent means of generating revenue or cash flow. The Company’s ability to pay taxes and pay dividends will depend on the financial results and cash flows of our subsidiaries and the distributions we receive from our subsidiaries. Deterioration in the financial condition, earnings or cash flow of our subsidiaries for any reason could limit or impair our subsidiaries’ ability to pay such distributions. Additionally, to the extent that the Company needs funds and our subsidiaries are restricted from making such distributions under applicable law or regulation or under the terms of any financing arrangements, or our subsidiaries are otherwise unable to provide such funds, it could materially adversely affect the Company’s liquidity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on the Common Stock, if any, will be paid at the discretion of the Board, which will consider, among other things, the Company’s business, operating results, financial condition, current and expected cash needs, plans for expansion and any legal or contractual limitations on its ability to pay such dividends. Financing arrangements may include restrictive covenants that restrict the Company’s ability to pay dividends or make other distributions to its stockholders. In addition, the Company is generally prohibited under Delaware law from making a distribution to stockholders to the extent that, at the time of the distribution, after giving effect to the distribution, liabilities of the Company (with certain exceptions) exceed the fair value of its assets. If our subsidiaries do not have sufficient funds to make distributions, the Company’s ability to declare and pay cash dividends may also be restricted or impaired.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or the perception of sales, of our common stock, including those registered in this registration statement, by us or our existing stockholders in the public market could cause the market price for our common stock to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expiration or waiver of the lock-ups described above, shares held by certain of our stockholders will be eligible for resale, subject to, in the case of certain stockholders, volume, manner of sale and other limitations under Rule 144. As restrictions on resale end, the market price of shares of our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shares of our Common Stock reserved for future issuance under the Equity Incentive Plan will become eligible for sale in the public market once those shares are issued, subject to provisions relating to various vesting agreements, lock-up agreements and, in some cases, limitations on volume and manner of sale by affiliates under Rule 144, as applicable. The number of shares to be reserved for future issuance under the Equity Incentive Plan is expected to equal approximately 3,000,000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file one or more registration statements on Form S-8 under the Securities Act to register shares of our common stock or securities convertible into or exchangeable for shares of our common stock issued pursuant to our equity incentive plans. Any such Form S-8 registration statements will automatically become effective upon filing. Accordingly, shares registered under such registration statements will be available for sale in the open market. The initial registration statement on Form S-8 is expected to cover approximately 3,000,000 shares of our 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existing stockholders purchased, or may purchase, securities in the Company at a price below the current trading price of such securities, and may experience a positive rate of return based on the current trading price. Future investors in the Company may not experience a similar rate of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stockholders in the Company acquired, or may acquire, shares of our Common Stock or Warrants at prices below the current trading price of our Common Stock, and may experience a positive rate of return based on the current trading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based on the closing price of our Common Stock of $2.53 on January 2, 2024, the Initial Holders may experience potential profit of up to $2.526 per share of Common Stock, or $2,020,800 in the aggregate, based on the Initial Holders’ initial purchase price of shares of Common Stock in the form of founder shares prior to the RCLF IPO at a price of approximately $0.004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stockholders may not be able to experience the same positive rates of return on securities they purchase due to the low price at which the Sponsor purchased shares of our Common Stock and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 will become exercisable for Company common stock, which would increase the number of shares eligible for resale in the public market and result in dilution to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warrants to purchase an aggregate of 8,433,231 shares of Common Stock will become exercisable in accordance with the terms of the Warrant Agreement governing those securities. Each warrant entitles the registered holder to purchase one share of Common Stock at a price of $11.50 per full share, subject to adjustment as discussed below. Common Stock issued upon exercise of the Warrants are subject to the lock-up agreements described in the section title “</w:t>
      </w:r>
      <w:r>
        <w:rPr>
          <w:rFonts w:ascii="Times New Roman PS Std;serif" w:hAnsi="Times New Roman PS Std;serif"/>
          <w:b w:val="false"/>
          <w:i/>
          <w:caps w:val="false"/>
          <w:smallCaps w:val="false"/>
          <w:sz w:val="20"/>
        </w:rPr>
        <w:t>Other Agreements — Lockup Agreement</w:t>
      </w:r>
      <w:r>
        <w:rPr>
          <w:rFonts w:ascii="Times New Roman PS Std;serif" w:hAnsi="Times New Roman PS Std;serif"/>
          <w:b w:val="false"/>
          <w:i w:val="false"/>
          <w:caps w:val="false"/>
          <w:smallCaps w:val="false"/>
          <w:sz w:val="20"/>
        </w:rPr>
        <w:t>.” Pursuant to the Warrant Agreement, a holder of Warrants may exercise its Warrants only for a whole number of shares. This means that only a whole warrant may be exercised at any given time by a holder of Warrants. To the extent such warrants are exercised, additional shares of the Common Stock will be issued, which will result in dilution to the holders of the Common Stock and increase the number of shares eligible for resale in the public market. Sales of substantial numbers of such shares in the public market or the fact that such warrants may be exercised could adversely affect the market price of the Common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1" w:name="T14"/>
      <w:bookmarkEnd w:id="11"/>
      <w:r>
        <w:rPr>
          <w:rFonts w:ascii="Times New Roman PS Std;serif" w:hAnsi="Times New Roman PS Std;serif"/>
          <w:b/>
          <w:i w:val="false"/>
          <w:caps/>
          <w:sz w:val="20"/>
        </w:rPr>
        <w:t>Use of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sales of Common Stock by B. Riley Principal Capital II pursuant to this prospectus will be solely for B. Riley Principal Capital II’s accounts. The Company will not receive any proceeds from any such sales.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receive up to $10,000,000 aggregate gross proceeds under the Purchase Agreement from any sales we make to B. Riley Principal Capital II pursuant to the Purchase Agreement. The net proceeds from sales, if any, under the Purchase Agreement, will depend on the frequency and prices at which we sell our Common Stock to B. Riley Principal Capital II after the date of this prospectus. See the section titled “Plan of Distribution (Conflict of Interest)” in this prospectus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any proceeds that we receive under the Purchase Agreement for working capital and general corporate purposes. As of the date of this prospectus, we cannot specify with certainty all of the particular uses, and the respective amounts we may allocate to those uses, for any net proceeds we receive. Accordingly, we will retain broad discretion over the use of these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will pay any underwriting discounts, selling commissions and stock transfer taxes and fees incurred by such holders in connection with any sale of their shares of Common Stock. The Company will generally bear all other costs, fees and expenses incurred in effecting the registration of the shares of Common Stock covered by this prospectus, including, without limitation, all registration and filing fees, Nasdaq listing fees and fees and expenses of Company counsel and independent registered public accountants.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engaged Seaport, a registered broker-dealer and FINRA member, to act as a qualified independent underwriter in this offering and, in such capacity, participate in the preparation of the registration statement that includes this prospectus and exercise the usual standards of “due diligence” with respect thereto. Upon the initial filing with the SEC of the registration statement that includes this prospectus, we paid Seaport (i) a cash fee of $50,000 as consideration for its services in connection with acting as the qualified independent underwriter in this offering and (ii) $5,000 as reimbursement for its expenses incurred in providing such services. Seaport will receive no other compensation for acting as the qualified independent underwriter in this offering. B. Riley Principal Capital II has agreed to reimburse us (or cause one of its affiliates to reimburse us) on the Commencement Date for the full amount of the cash fee and expense reimbursement we paid to Seaport in connection with acting as the qualified independent underwriter in this offering.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13"/>
      <w:bookmarkEnd w:id="12"/>
      <w:r>
        <w:rPr>
          <w:rFonts w:ascii="Times New Roman PS Std;serif" w:hAnsi="Times New Roman PS Std;serif"/>
          <w:b/>
          <w:i w:val="false"/>
          <w:caps w:val="false"/>
          <w:smallCaps w:val="false"/>
          <w:sz w:val="20"/>
        </w:rPr>
        <w:t>DETERMINATION OF OFFERING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currently determine the price or prices at which shares of Common Stock may be sold by B. Riley Principal Capital II under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2"/>
      <w:bookmarkEnd w:id="13"/>
      <w:r>
        <w:rPr>
          <w:rFonts w:ascii="Times New Roman PS Std;serif" w:hAnsi="Times New Roman PS Std;serif"/>
          <w:b/>
          <w:i w:val="false"/>
          <w:caps w:val="false"/>
          <w:smallCaps w:val="false"/>
          <w:sz w:val="20"/>
        </w:rPr>
        <w:t>THE COMMITTED EQUITY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26, 2023, we entered into the Purchase Agreement and the Registration Rights Agreement with B. Riley Principal Capital II. Upon the terms and subject to the satisfaction of the conditions contained in the Purchase Agreement, from and after the Commencement Date, we will have the right, in our sold discretion, to sell to B. Riley Principal Capital II up to $10,000,000 of shares of our Common Stock, subject to certain limitations set forth in the Purchase Agreement, from time to time after the date of this prospectus and during the term of the Purchase Agreement. Sales of Common Stock by us to B. Riley Principal Capital II under the Purchase Agreement, and the timing of any such sales, are solely at our option, and we are under no obligation to sell any securities to B. Riley Principal Capital II under the Purchase Agreement. In accordance with our obligations under the Registration Rights Agreement, we have filed the registration statement that includes this prospectus with the SEC to register under the Securities Act the resale by B. Riley Principal Capital II of up to 3,249,360 shares of Common Stock, consisting of (i) up to 3,209,360 Purchase Shares that we may, in our sole discretion, elect sell to B. Riley Principal Capital II, from time to time from and after the Commencement Date (defined below) pursuant to the Purchase Agreement and (ii) the 40,000 Commitment Shares we issued to B. Riley Principal Capital II upon our execution of the Purchase Agreement on December 26, 2023, together with our payment of the Cash Commitment Fee to B. Riley Principal Capital II, as consideration for its commitment to purchase shares of our Common Stock that we may, in our sole discretion, direct B. Riley Principal Capital II to purchase from us pursuant to the Purchase Agreement, from time to time after the date of this prospectus and during the term of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the right to commence any sales of our Common Stock to B. Riley Principal Capital II under the Purchase Agreement until the Commencement Date, which is the date on which all of the conditions to B. Riley Principal Capital II’s purchase obligation set forth in the Purchase Agreement have initially been satisfied, none of which are in B. Riley Principal Capital II’s control, including that the registration statement that includes this prospectus shall have been declared effective by the SEC and the final form of this prospectus shall have been filed with the SEC. From and after the Commencement Date, we have the right, but not the obligation, from time to time at our sole discretion for a period of up to 24 months, unless the Purchase Agreement is earlier terminated, to direct B. Riley Principal Capital II to purchase up to a specified maximum amount of shares of Common Stock in one or more Market Open Purchases and Intraday Purchases as set forth in the Purchase Agreement, by timely delivering a written Market Open Purchase Notice for each Market Open Purchase, and timely delivering a written Intraday Purchase Notice for each Intraday Purchase, if any, to B. Riley Principal Capital II in accordance with the Purchase Agreement on any trading day we select as the Purchase Date therefor, so long as (i) the closing sale price of our Common Stock on the trading day immediately prior to such Purchase Date is not less than the Threshold Price and (ii) all shares of Common Stock subject to all prior Market Open Purchases and all prior Intraday Purchases (as applicable) effected by us under the Purchase Agreement, including all prior purchases effected on the same Purchase Date, have been received by B. Riley Principal Capital II in the manner set forth in the Purchase Agreement, prior to the time we deliver such notice to B. Riley Principal Capital 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Commencement, the Company will control the timing and amount of any sales of Common Stock to B. Riley Principal Capital II. Actual sales of shares of our Common Stock to B. Riley Principal Capital II under the Purchase Agreement will depend on a variety of factors to be determined by us from time to time, including, among other things, market conditions, the trading price of our Common Stock and determinations by us as to the appropriate sources of funding for our company and its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applicable Nasdaq rules, in no event may we issue to B. Riley Principal Capital II under the Purchase Agreement shares of Common Stock in excess of the 19.99%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$2.55 per share (representing the lower of (a) the official closing price of our Common Stock on Nasdaq immediately preceding the execution of the Purchase Agreement and (b) the average official closing price of our Common Stock on Nasdaq for the five consecutive trading days immediately preceding the execution of the Purchase Agreement, adjusted as required by Nasdaq to take into account our issuance of the Commitment Shares to B. Riley Principal Capital II for non-cash consideration), so that the Exchange Cap limitation will not apply to issuances and sales of Common Stock pursuant to the Purchase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may not issue or sell any shares of Common Stock to B. Riley Principal Capital II under the Purchase Agreement which, when aggregated with all other shares of Common Stock then beneficially owned by B. Riley Principal Capital II and its affiliates (as calculated pursuant to Section 13(d) of the Exchange Act and Rule 13d-3 thereunder), would result in B. Riley Principal Capital II beneficially owning shares of Common Stock in excess of the 4.99% Beneficial Ownership Limitation, which is defined in the Purchase Agreement as 4.99% of the outstanding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proceeds to us from sales that we elect to make to B. Riley Principal Capital II under the Purchase Agreement, if any, will depend on the frequency and prices at which we sell shares of our stock to B. Riley Principal Capital II. We expect that any proceeds received by us from such sales to B. Riley Principal Capital II will be used for working capital and general corporate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B. Riley Principal Capital II may assign or transfer our respective rights and obligations under the Purchase Agreement or the Registration Rights Agreement, and no provision of the Purchase Agreement or the Registration Rights Agreement may be modified or waived by us or B. Riley Principal Capital 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consideration for B. Riley Principal Capital II’s commitment to purchase shares of Common Stock at our direction upon the terms and subject to the conditions set forth in the Purchase Agreement, upon our execution of the Purchase Agreement, we (i) issued 40,000 Commitment Shares to B. Riley Principal Capital II, which Commitment Shares have a total aggregate value equal to 1.0% of B. Riley Principal Capital II’s $10,000,000 total aggregate purchase commitment under the Purchase Agreement (assuming a purchase price of $2.50 per Commitment Share, representing the official closing price of the Common Stock on Nasdaq immediately preceding the execution of the Purchase Agreement) and (ii) agreed to pay B. Riley Principal Capital II the Cash Commitment Fee in the amount of $75,000, which is equal to 0.75% of B. Riley Principal Capital II’s $10,000,000 total aggregate purchase commitment under the Purchase Agreement, upon the settlement of the first purchase (whether such first purchase is a Market Open Purchase or Intraday Purchase), if any, that we direct B. Riley Principal Capital II to make under the Purchase Agreement. If we do not direct B. Riley Principal Capital II to make any Market Open Purchase or Intraday Purchase under the Purchase Agreement, or if the Commencement does not occur, then we have agreed to pay the $75,000 Cash Commitment Fee to B. Riley Principal Capital II within three trading days following the termination of the Purchase Agreement in accordance with its terms. Under the terms of the Purchase Agreement, in certain circumstances set forth in the Purchase Agreement, we may be required to pay B. Riley Principal Capital II up to $100,000 (or 1.0% of B. Riley Principal Capital II’s $10,000,000 aggregate purchase commitment under the Purchase Agreement), in cash, as a “make-whole” payment to the extent the aggregate amount of cash proceeds, if any, received by B. Riley Principal Capital II from the resale of the Commitment Shares offered for resale by this prospectus, prior to certain times set forth in the Purchase Agreement, is less than $100,000, in exchange for B. Riley Principal Capital II returning to us for cancelation all of the Commitment Shares we originally issued to B. Riley Principal Capital II upon execution of the Purchase Agreement that were not previously resold by B. Riley Principal Capital II prior to the times specified in the Purchase Agreement, if any. In addition, we have agreed to reimburse B. Riley Principal Capital II for the reasonable legal fees and disbursements of B. Riley Principal Capital II’s legal counsel in an amount not to exceed (i) $75,000 upon our execution of the Purchase Agreement and Registration Rights Agreement and (ii) $5,000 per fiscal quarter, in each case in connection with the transactions contemplated by the Purchase Agreement and the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Purchases of Common Stock Under the Purchase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 Open Purchases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From and after the Commencement Date, we will have the right, but not the obligation, from time to time at our sole discretion for a period of up to 24 months, unless the Purchase Agreement is earlier terminated, beginning on the Commencement Date, to direct B. Riley Principal Capital II to purchase a specified number of shares of Common Stock, not to exceed the applicable Market Open Purchase Maximum Amount, in a Market Open Purchase under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Agreement, by timely delivering a written Market Open Purchase Notice to B. Riley Principal Capital II, prior to 9:00 a.m., New York City time, on any trading day we select as the Purchase Date for such Market Open Purchase, so long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closing sale price of our Common Stock on the trading day immediately prior to such Purchase Date is not less than the Threshold Price;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shares of Common Stock subject to all prior Market Open Purchases and all prior Intraday Purchases effected by us under the Purchase Agreement have been received by B. Riley Principal Capital II prior to the time we deliver such Market Open Purchase Notice to B. Riley Principal Capital 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Maximum Amount applicable to such Market Open Purchase will be equal to the lesser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1,000,000 shares of Common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Open Purchase Percentage (as specified in the applicable Market Open Purchase Notice for such Purchase) of the total aggregate number (or volume) of shares of our Common Stock traded on Nasdaq during the applicable Market Open Purchase Valuation Period for such Market Open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number of shares of Common Stock that B. Riley Principal Capital II will be required to purchase in a Market Open Purchase, which we refer to as the Market Open Purchase Share Amount, will be equal to the number of shares that we specify in the applicable Market Open Purchase Notice, subject to adjustment to the extent necessary to give effect to the applicable Market Open Purchase Maximum Amount and other applicable limitations set forth in the Purchase Agreement, including the Beneficial Ownership Limitation and, if then applicable, the Exchange Cap.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purchase price that B. Riley Principal Capital II will be required to pay for the Market Open Purchase Share Amount in a Market Open Purchase effected by us pursuant to the Purchase Agreement, if any, will be equal to the VWAP of our Common Stock for the applicable Market Open Purchase Valuation Period on the Purchase Date for such Market Open Purchase, less a fixed 3.5% discount to the VWAP for such Market Open Purchase Valuation Period. The Market Open Purchase Valuation Period for a Market Open Purchase is defined in the Purchase Agreement as the period beginning at the official open (or “commencement”) of the regular trading session on Nasdaq on the applicable Purchase Date for such Market Open Purchase, and ending at the earliest to occur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3:59 p.m., New York City time, on such Purchase Date or such earlier time publicly announced by the trading market as the official close of the regular trading session on such Purchase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that the total aggregate number (or volume) of shares of Common Stock traded on Nasdaq during such Market Open Purchase Valuation Period reaches the applicable Market Open Purchase Share Volume Maximum for such Market Open Purchase, which will be determined by dividing (a) the applicable Market Open Purchase Share Amount for such Market Open Purchase, by (b) the Market Open Purchase Percentage we specified in the applicable Market Open Purchase Notice for such Market Open Purchase);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further specify in the applicable Market Open Purchase Notice for such Market Open Purchase that a Limit Order Discontinue Election shall apply to such Market Open Purchase, such time that the trading price of our Common Stock on Nasdaq during such Market Open Purchase Valuation Period (calculated in accordance with the Purchase Agreement) falls below the applicable Minimum Price Threshold.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Purchase Agreement, for purposes of calculating the volume of shares of Common Stock traded during a Market Open Purchase Valuation Period, including for purposes of determining whether the applicable Market Open Purchase Share Volume Maximum for a Market Open Purchase has been reached, for purposes of calculating the VWAP of our Common Stock for the applicable Market Open Purchase Valuation Period, and to the extent that we specify in the applicable Market Open Purchase Notice that the Limit Order Discontinue Election will apply,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 Purchase that a Limit Order Continue Election, rather than a Limit Order Discontinue Election, shall apply to such Market Open Purchase, all purchases and sales of Common Stock on Nasdaq during such Market Open Purchase Valuation Period at a price per share that is less than the applicable Minimum Price Threshold for such Market Open Purchase.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Intraday Purchases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Market Open Purchases described above, from and after the Commencement Date, we will also have the right, but not the obligation, subject to the continued satisfaction of the conditions set forth in the Purchase Agreement, to direct B. Riley Principal Capital II to make Intraday Purchases (whether or not a Market Open Purchase is effected on such Purchase Date), not to exceed the applicable Intraday Purchase Maximum Amount, in an Intraday Purchase under the Purchase Agreement, by timely delivering a written Intraday Purchase Notice to B. Riley Principal Capital II, after 10:00 a.m., New York City time (and after the Market Open Purchase Valuation Period for any earlier Market Open Purchase and the Intraday Purchase Valuation Period for the most recent prior Intraday Purchase effected on the same Purchase Date if applicable, have ended), and prior to 3:30 p.m., New York City time, on such Purchase Date, so long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closing sale price of our Common Stock on the trading day immediately prior to such Purchase Date is not less than the Threshold Price;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in the manner set forth in the Purchase Agreement, prior to the time we deliver the Intraday Purchase Notice for such applicable Intraday Purchase to B. Riley Principal Capital 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Intraday Purchase Maximum Amount applicable to such Intraday Purchase will be equal to the lesser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1,000,000 shares of Common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Intraday Purchase Percentage (as specified by us in the applicable Intraday Purchase Notice for such Intraday Purchase) of the total aggregate number (or volume) of shares of our Common Stock traded on Nasdaq during the applicable Intraday Purchase Valuation Period for such Intraday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number of shares of Common Stock that B. Riley Principal Capital II will be required to purchase in an Intraday Purchase, which we refer to as the Intraday Purchase Share Amount, will be equal to the number of shares that we specify in the applicable Intraday Purchase Notice, subject to adjustment to the extent necessary to give effect to the applicable Intraday Purchase Maximum Amount and other applicable limitations set forth in the Purchase Agreement, including the Beneficial Ownership Limitation and, if then applicable, the Exchange Cap.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purchase price that B. Riley Principal Capital II will be required to pay for the Intraday Purchase Share Amount in an Intraday Purchase effected by us pursuant to the Purchase Agreement, if any, will be calculated in the same manner as in the case of a Market Open Purchase (including the same fixed percentage discounts to the applicable VWAP used to calculate the per share purchase price for a Market Open Purchase as described above), provided that the VWAP used to determine the purchase price for the Intraday Purchase Share Amount to be purchased in an Intraday Purchase will be equal to the VWAP for the applicable Intraday Purchase Valuation Period on the Purchase Date for such Intraday Purchase. The Intraday Purchase Valuation Period for an Intraday Purchase is defined in the Purchase Agreement as the period during the regular trading session on Nasdaq on such Purchase Date, beginning at the latest to occur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of confirmation of B. Riley Principal Capital II’s receipt of the applicable Intraday Purchase Notice;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that the Market Open Purchase Valuation Period for any prior Market Open Purchase effected on the same Purchase Date (if any) has ended;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that the Intraday Purchase Valuation Period for the most recent prior Intraday Purchase effected on the same Purchase Date (if any) has ended,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ending at the earliest to occur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3:59 p.m., New York City time, on such Purchase Date or such earlier time publicly announced by the trading market as the official close of the regular trading session on such Purchase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that the total aggregate number (or volume) of shares of Common Stock traded on Nasdaq during such Intraday Purchase Valuation Period reaches the applicable Intraday Purchase Share Volume Maximum for such Intraday Purchase, which will be determined by dividing (a) the applicable Intraday Purchase Share Amount for such Intraday Purchase, by (b) the Purchase Percentage we specified in the applicable Intraday Purchase Notice for determining the applicable Intraday Purchase Share Amount for such Intraday Purchase);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further specify Limit Order Discontinue Election in the applicable Intraday Purchase Notice for such Intraday Purchase, such time that the trading price of our Common Stock on Nasdaq during such Intraday Purchase Valuation Period (calculated in accordance with the Purchase Agreement) falls below the applicable Minimum Price Threshold.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with Market Open Purchases, for purposes of calculating the volume of shares of Common Stock traded during an Intraday Purchase Valuation Period, including for purposes of determining whether the applicable Intraday Purchase Share Volume Maximum for an Intraday Purchase has been reached, for purposes of calculating the VWAP of our Common Stock for the applicable Intraday Purchase Valuation Period, the following transactions, to the extent they occur during such Intraday Purchase Valuation Period, are excluded: (x) the opening or first purchase of Common Stock at or following the official open of the regular trading session on Nasdaq on the applicable Purchase Date for such Intraday Purchase, (y) the last or closing sale of Common Stock at or prior to the official close of the regular trading session on Nasdaq on the applicable Purchase Date for such Intraday Purchase, and (z) if we have specified in the applicable Intraday Purchase Notice for such Intraday Purchase that a Limit Order Continue Election, rather than a Limit Order Discontinue Election, shall apply to such Intraday Purchase, all purchases and sales of Common Stock on Nasdaq during such Intraday Purchase Valuation Period at a price per share that is less than the applicable Minimum Price Threshold for such Intraday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 our sole discretion, timely deliver multiple Intraday Purchase Notices to B. Riley Principal Capital II prior to 3:30 p.m., New York City time, on a single Purchase Date to effect multiple Intraday Purchases on such same Purchase Date, provided that the Purchase Valuation Period for any earlier regular Purchase effected on the same Purchase Date (as applicable) and the Intraday Purchase Valuation Period for the most recent prior Intraday Purchase effected on the same Purchase Date have ended prior to 3:30 p.m., New York City time, on such Purchase Date, and so long as 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prior to the time we deliver to B. Riley Principal Capital II a new Intraday Purchase Notice to effect an additional Intraday Purchase on the same Purchase Date as an earlier Market Open Purchase (as applicable) and one or more earlier Intraday Purchases effected on such same Purchase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and limitations that will apply to each subsequent additional Intraday Purchase effected on the same Purchase Date will be the same as those applicable to any earlier Market Open Purchase (as applicable) and any earlier Intraday Purchase effected on the same Purchase Date as such subsequent additional Intraday Purchase, and the per share purchase price for the shares of Common Stock that we elect to sell to B. Riley Principal Capital II in each subsequent additional Intraday Purchase effected on the same Purchase Date as an earlier Market Open Purchase (as applicable) and/or earlier Intraday Purchase(s) effected on such Purchase Date will be calculated in the same manner as in the case of such earlier Market Open Purchase (as applicable) and such earlier Intraday Purchase(s) effected on the same Purchase Date as such subsequent additional Intraday Purchase, with the exception that the Intraday Purchase Valuation Period for each subsequent additional Intraday Purchase will begin and end at different times (and may vary in duration) during the regular trading session on such Purchase Date, in each case as determined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case of Market Open Purchases and Intraday Purchases effected by us under the Purchase Agreement, if any, all share and dollar amounts used in determining the purchase price per share of Common Stock to be purchased by B. Riley Principal Capital II in a Market Open Purchase or an Intraday Purchase (as applicable), or in determining the applicable maximum purchase share amounts or applicable volume or price threshold amounts in connection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any such Market Open Purchase or Intraday Purchase (as applicable), in each case, will be equitably adjusted for any reorganization, recapitalization, non-cash dividend, stock split, reverse stock split or other similar transaction occurring during any period used to calculate such per share purchase price, maximum purchase share amounts or applicable volume or price threshold amounts.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or prior to 5:30 p.m., New York City time, on the applicable Purchase Date for a Market Open Purchase and/or Intraday Purchase, B. Riley Principal Capital II will provide us with a written confirmation for such Market Open Purchase and/or Intraday Purchase, as applicable, setting forth the applicable purchase price (both on a per share basis and the total aggregate purchase price) to be paid by B. Riley Principal Capital II for the shares of Common Stock purchased by B. Riley Principal Capital II in such Market Open Purchase and/or Intraday Purchase,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for, against delivery of, shares of Common Stock purchased by B. Riley Principal Capital II in any Market Open Purchase or any Intraday Purchase under the Purchase Agreement will be fully settled within two (2) trading days immediately following the applicable Purchase Date for such Market Open Purchase or such Intraday Purchase (as applicable), as set forth in the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Precedent to Commencement and Each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Riley Principal Capital II’s obligation to accept Market Open Purchase Notices and Intraday Purchase Notices that are timely delivered by us under the Purchase Agreement and to purchase shares of our Common Stock in Market Open Purchases and Intraday Purchases under the Purchase Agreement, are subject to (i) the initial satisfaction, at the Commencement, and (ii) the satisfaction, at the applicable “Purchase Condition Satisfaction Time” (as such term is defined in the Purchase Agreement) on the applicable Purchase Date for each Market Open Purchase and Intraday Purchase after the Commencement Date, of the conditions precedent thereto set forth in the Purchase Agreement, all of which are entirely outside of B. Riley Principal Capital II’s control, which conditions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in all material respects of the representations and warranties of the Company included in the Purchase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having performed, satisfied and complied in all material respects with all covenants, agreements and conditions required by the Purchase Agreement to be performed, satisfied or complied with by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registration statement that includes this prospectus (and any one or more additional registration statements filed with the SEC that include shares of Common Stock that may be issued and sold by the Company to B. Riley Principal Capital II under the Purchase Agreement) having been declared effective under the Securities Act by the SEC, and B. Riley Principal Capital II being able to utilize this prospectus (and the prospectus included in any one or more additional registration statements filed with the SEC under the Registration Rights Agreement) to resell all of the shares of Common Stock included in this prospectus (and included in any such additional prospectuses);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 shall not have issued any stop order suspending the effectiveness of the registration statement that includes this prospectus (or any one or more additional registration statements filed with the SEC that include shares of Common Stock that may be issued and sold by the Company to B. Riley Principal Capital II under the Purchase Agreement) or prohibiting or suspending the use of this prospectus (or the prospectus included in any one or more additional registration statements filed with the SEC under the Registration Rights Agreement), and the absence of any suspension of qualification or exemption from qualification of the Common Stock for offering or sale in any jurisdiction;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FINRA shall not have provided an objection to, and shall have confirmed in writing that it has determined not to raise any objections with respect to the fairness and reasonableness of, the terms and arrangements of the transactions contemplated by the Purchase Agreement and the Registration Rights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there shall not have occurred any event and there shall not exist any condition or state of facts, which makes any statement of a material fact made in the registration statement that includes this prospectus (or in any one or more additional registration statements filed with the SEC that include shares of Common Stock that may be issued and sold by the Company to B. Riley Principal Capital II under the Purchase Agreement) untrue or which requires the making of any additions to or changes to the statements contained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therein in order to state a material fact required by the Securities Act to be stated therein or necessary in order to make the statements then made therein (in the case of this prospectus or the prospectus included in any one or more additional registration statements filed with the SEC under the Registration Rights Agreement, in the light of the circumstances under which they were made) not misleading;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this prospectus, in final form, shall have been filed with the SEC under the Securities Act prior to Commencement, and all reports, schedules, registrations, forms, statements, information and other documents required to have been filed by the Company with the SEC pursuant to the reporting requirements of the Exchange Act shall have been filed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trading in the Common Stock shall not have been suspended by the SEC or Nasdaq, the Company shall not have received any final and non-appealable notice that the listing or quotation of the Common Stock on Nasdaq, shall be terminated on a date certain (unless, prior to such date, the Common Stock is listed or quoted on any other Eligible Market, as such term is defined in the Purchase Agreement), and there shall be no suspension of, or restriction on, accepting additional deposits of the Common Stock, electronic trading or book-entry services by The Depository Trust Company with respect to the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shall have complied with all applicable federal, state and local governmental laws, rules, regulations and ordinances in connection with the execution, delivery and performance of the Purchase Agreement and the Registration Rights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statute, regulation, order, decree, writ, ruling or injunction by any court or governmental authority of competent jurisdiction which prohibits the consummation of or that would materially modify or delay any of the transactions contemplated by the Purchase Agreement or the Registration Rights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action, suit or proceeding before any arbitrator or any court or governmental authority seeking to restrain, prevent or change the transactions contemplated by the Purchase Agreement or the Registration Rights Agreement, or seeking material damages in connection with such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the shares of Common Stock that may be issued pursuant to the Purchase Agreement shall have been approved for listing or quotation on Nasdaq(or if the Common Stock is not then listed on Nasdaq, then on any Eligible Market), subject only to notice of issuance;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condition, occurrence, state of facts or event constituting a Material Adverse Effect (as such term is defined in the Purchase Agreement) shall have occurred and be continuing;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bankruptcy proceeding against the Company commenced by a third party, and the Company shall not have commenced a voluntary bankruptcy proceeding, consented to the entry of an order for relief against it in an involuntary bankruptcy case, consented to the appointment of a custodian of the Company or for all or substantially all of its property in any bankruptcy proceeding, or made a general assignment for the benefit of its creditors;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B. Riley Principal Capital II of the legal opinions and negative assurances, bring-down legal opinions and negative assurances, and audit comfort letters, in each case as required under the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earlier terminated as provided in the Purchase Agreement, the Purchase Agreement will terminate automatically on the earliest to occur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first day of the month next following the 24-month anniversary of the Commencement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B. Riley Principal Capital II shall have purchased shares of Common Stock under the Purchase Agreement for an aggregate gross purchase price equal to $10,000,000;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Common Stock shall have failed to be listed or quoted on Nasdaq or any other Eligible Market;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30th trading day after the date on which a voluntary or involuntary bankruptcy proceeding involving our company has been commenced that is not discharged or dismissed prior to such trading day;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a bankruptcy custodian is appointed for all or substantially all of our property, or we make a general assignment for the benefit of our creditors.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right to terminate the Purchase Agreement at any time after Commencement, at no cost or penalty, upon 10 trading days’ prior written notice to B. Riley Principal Capital II. We and B. Riley Principal Capital II may also terminate the Purchase Agreement at any time by mutual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Riley Principal Capital II also has the right to terminate the Purchase Agreement upon 10 trading days’ prior written notice to us, but only upon the occurrence of certain events,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and continuation of a Material Adverse Effect (as such term is defined in the Purchase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of a Fundamental Transaction (as such term defined in the Purchase Agreement) involving our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any registration statement is not filed by the applicable Filing Deadline (as defined in the Registration Rights Agreement) or declared effective by the SEC by the applicable Effectiveness Deadline (as defined in the Registration Rights Agreement), or the Company is otherwise in breach or default in any material respect under any of the other provisions of the Registration Rights Agreement, and, if such failure, breach or default is capable of being cured, such failure, breach or default is not cured within 10 trading days after notice of such failure, breach or default is delivered to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are in breach or default in any material respect of any of our covenants and agreements in the Purchase Agreement or in the Registration Rights Agreement, and, if such breach or default is capable of being cured, such breach or default is not cured within 10 trading days after notice of such breach or default is delivered to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effectiveness of the registration statement that includes this prospectus or any additional registration statement we file with the SEC pursuant to the Registration Rights Agreement lapses for any reason (including the issuance of a stop order by the SEC), or this prospectus or the prospectus included in any additional registration statement we file with the SEC pursuant to the Registration Rights Agreement otherwise becomes unavailable to B. Riley Principal Capital II for the resale of all of the shares of Common Stock included therein, and such lapse or unavailability continues for a period of 45 consecutive trading days or for more than an aggregate of 90 trading days in any 365-day period, other than due to acts of B. Riley Principal Capital II;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trading in the Common Stock on Nasdaq (or if the Common Stock is then listed on an Eligible Market, trading in the Common Stock on such Eligible Market) has been suspended for a period of five consecutive trading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termination of the Purchase Agreement by us or by B. Riley Principal Capital II will become effective prior to the fifth trading day immediately following the date on which any pending Market Open Purchase and any pending Intraday Purchase has been fully settled in accordance with the terms and conditions of the Purchase Agreement, and no termination will affect any of our respective rights and obligations under the Purchase Agreement with respect to any pending Market Open Purchase, any pending Intraday Purchase, the Commitment Shares, including any cash “make-whole” payment we may be required to pay to B. Riley Principal Capital II under certain circumstances as specified in the Purchase Agreement, and any fees and disbursements of B. Riley Principal Capital II’s legal counsel in connection with the transactions contemplated by the Purchase Agreement and the Registration Rights Agreement. Both we and B. Riley Principal Capital II have agreed to complete our respective obligations with respect to any such pending Market Open Purchase and any pending Intraday Purchase under the Purchase Agreement. Furthermore, no termination of the Purchase Agreement will affect the Registration Rights Agreement, which will survive any termination of the Purchase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Short-Selling or Hedging by B. Riley Principal Capital 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Riley Principal Capital II has agreed that none of B. Riley Principal Capital II, its sole member, any of their respective officers, or any entity managed or controlled by B. Riley Principal Capital II or its sole member will engage in or effect, directly or indirectly, for its own account or for the account of any other of such persons or entities, any short sales of the Common Stock or hedging transaction that establishes a net short position in the Common Stock during the term of the Purchase Agreement. Furthermore, B. Riley Principal Capital II covenants and agrees that, with respect to each brokerage account in which shares of Common Stock beneficially owned by B. Riley Principal Capital II are held or to be held, it shall provide written instructions to the applicable broker that it does not wish to participate in, and expressly opts out of, any “fully paid lending program” or similar program with respect to such brokerage account so that shares of Common Stock beneficially owned that are, or to be held in, such brokerage account will not be made available by the broker for lending to any third person in connection with, to effect or otherwise to facilitate any short sale of Common Stock by any person.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Prohibition on Dilutive Issuances and Similar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There are no restrictions on future financings, rights of first refusal, participation rights, penalties or liquidated damages in the Purchase Agreement or Registration Rights Agreement, other than a prohibition (with certain limited exceptions) on entering into a “Dilutive Issuance” (as such term is defined in the Purchase Agreement) during the period beginning on the Trading Day immediately preceding the Purchase Date and ending three (3) trading days following the settlement and issuance of shares in connection with such Purchase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Notwithstanding, under the Purchase Agreement, we may not allot, issue, sell or grant any, or otherwise dispose of or issue (or enter into any agreement, plan or arrangement contemplating any of the foregoing, or seek to utilize any existing agreement, plan or arrangement to effect any of the foregoing) any shares of Common Stock or equivalents in any “equity line of credit” or “at the market offering” or other continuous offering or similar offering, subject to certain exceptions detailed in the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Qualified Independent Underwriter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engaged Seaport, a registered broker-dealer and FINRA member, to act as a qualified independent underwriter in this offering. Upon the initial filing with the SEC of the registration statement that includes this prospectus, we paid Seaport (i) a cash fee of $50,000 as consideration for its services in connection with acting as the qualified independent underwriter in this offering and (ii) $5,000 as reimbursement for its expenses incurred in providing such services. Seaport will receive no other compensation for acting as the qualified independent underwriter in this offering. B. Riley Principal Capital II has agreed to reimburse us (or cause one of its affiliates to reimburse us) on the Commencement Date for the full amount of the cash fee and expense reimbursement we paid to Seaport in connection with acting as the qualified independent underwriter in this offering.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Sales of our Common Stock under the Purchase Agreement on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Commitment Shares that we issued, and the Purchase Shares to be issued or sold by us, to B. Riley Principal Capital II under the Purchase Agreement that are being registered under the Securities Act for resale by B. Riley Principal Capital II in this offering are expected to be freely tradable. The 3,209,360 Purchase Shares being registered for resale in this offering may be issued and sold by us to B. Riley Principal Capital II from time to time at our discretion over a period of up to 24 months, unless the Purchase Agreement is earlier terminated, commencing on the Commencement Date. The resale by B. Riley Principal Capital II of a significant amount of shares registered for resale in this offering at any given time, or the perception that these sales may occur, could cause the market price of our Common Stock to decline and to be highly volatile. Sales of our Common Stock, if any, to B. Riley Principal Capital II under the Purchase Agreement will depend upon market conditions and other factors to be determined by us. We may ultimately decide to sell to B. Riley Principal Capital II all, some or none of the shares of our Common Stock that may be available for us to sell to B. Riley Principal Capital II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and when we do elect to sell shares of our Common Stock to B. Riley Principal Capital II pursuant to the Purchase Agreement, after B. Riley Principal Capital II has acquired such shares, B. Riley Principal Capital II may resell all, some or none of such shares at any time or from time to time in its discretion and at different prices. As a result, investors who purchase shares from B. Riley Principal Capital II in this offering at different times will likely pay different prices for those shares, and so may experience different levels of dilution, and in some cases substantial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dilution, and different outcomes in their investment results. Investors may experience a decline in the value of the shares they purchase from B. Riley Principal Capital II in this offering as a result of future sales made by us to B. Riley Principal Capital II at prices lower than the prices such investors paid for their shares in this offering. In addition, if we sell a substantial number of shares of our Common Stock to B. Riley Principal Capital II under the Purchase Agreement, or if investors expect that we will do so, the actual sales of shares or the mere existence of our arrangement with B. Riley Principal Capital II may make it more difficult for us to sell equity or equity-related securities in the future at a time and at a price that we might otherwise wish to effect such sales.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of the date of this prospectus, it is not possible for us to predict the number of shares of Common Stock that we will sell to B. Riley Principal Capital II under the Purchase Agreement, the actual purchase price per share to be paid by B. Riley Principal Capital II for those shares, or the actual gross proceeds to be raised by us from those sales, if 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January 2, 2024, there were 16,294,935 shares of our Common Stock outstanding. If all of the 3,249,360 shares offered for resale by B. Riley Principal Capital II under this prospectus were issued and outstanding as of the date hereof, such shares would represent approximately 16.6% of the total number of outstanding shares of Common Stock and approximately 23.6% of the total number of outstanding shares of Common Stock held by non-affiliates of our company, in each case as of January 2, 2024.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Purchase Agreement provides that we may sell up to $10,000,000 of our Common Stock to B. Riley Principal Capital II, only 3,209,360 Purchase Shares (in addition to the 40,000 Commitment Shares, for which we have not and will not receive any cash consideration) are being registered under the Securities Act for resale by B. Riley Principal Capital II under the registration statement that includes this prospectus. If we were to issue and sell all of such 3,209,360 Purchase Shares to B. Riley Principal Capital II at an assumed purchase price per share of $2.53, representing the closing sale price of our Common Stock on Nasdaq on January 2, 2024, we would only receive approximately $8,119,680 in aggregate gross proceeds from the sale of such Purchase Shares to B. Riley Principal Capital II under the Purchase Agreement. Depending on the market prices of our Common Stock on the Purchase Dates on which we elect to sell such Purchase Shares to B. Riley Principal Capital II under the Purchase Agreement, we may need to register under the Securities Act additional shares of our Common Stock for resale by B. Riley Principal Capital II which, together with the 3,209,360 Purchase Shares included in this prospectus, will enable us to issue and sell to B. Riley Principal Capital II such aggregate number of shares of Common Stock under the Purchase Agreement as will be necessary in order for us to receive aggregate proceeds equal to B. Riley Principal Capital II’s $10,000,000 maximum aggregate purchase commitment available to us under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elect to issue and sell to B. Riley Principal Capital II more than the 3,249,360 shares of Common Stock being registered under the Securities Act for resale by B. Riley Principal Capital II under the registration statement that includes this prospectus (40,000 of which shares represent the Commitment Shares that we issued to B. Riley Principal Capital II upon execution of the Purchase Agreement on December 26, 2023, for which we have not and will not receive any cash consideration), which we have the right, but not the obligation, to do, we must first (i) obtain stockholder approval to issue shares of Common Stock in excess of the Exchange Cap under the Purchase Agreement in accordance with applicable Nasdaq rules and (ii) file with the SEC one or more additional registration statements to register under the Securities Act the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3,249,360 shares of Common Stock being registered for resale by B. Riley Principal Capital II under the registration statement that includes this prospectus could cause additional substantial dilution to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number of shares of Common Stock ultimately offered for resale by B. Riley Principal Capital II through this prospectus is dependent upon the number of shares of Common Stock, if any, we elect to sell to B. Riley Principal Capital II under the Purchase Agreement from and after the Commencement Date. The issuance of our Common Stock to B. Riley Principal Capital II pursuant to the Purchase Agreement will not affect the rights or privileges of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amount of gross proceeds we would receive from B. Riley Principal Capital II from our sale of shares of Common Stock to B. Riley Principal Capital II under the Purchase Agreement at varying purchase prices:</w:t>
      </w:r>
    </w:p>
    <w:tbl>
      <w:tblPr>
        <w:tblW w:w="10205" w:type="dxa"/>
        <w:jc w:val="left"/>
        <w:tblInd w:w="0" w:type="dxa"/>
        <w:tblLayout w:type="fixed"/>
        <w:tblCellMar>
          <w:top w:w="0" w:type="dxa"/>
          <w:left w:w="0" w:type="dxa"/>
          <w:bottom w:w="0" w:type="dxa"/>
          <w:right w:w="0" w:type="dxa"/>
        </w:tblCellMar>
      </w:tblPr>
      <w:tblGrid>
        <w:gridCol w:w="3057"/>
        <w:gridCol w:w="146"/>
        <w:gridCol w:w="2051"/>
        <w:gridCol w:w="146"/>
        <w:gridCol w:w="1424"/>
        <w:gridCol w:w="775"/>
        <w:gridCol w:w="146"/>
        <w:gridCol w:w="381"/>
        <w:gridCol w:w="2079"/>
      </w:tblGrid>
      <w:tr>
        <w:trPr/>
        <w:tc>
          <w:tcPr>
            <w:tcW w:w="305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Assumed Average Purchase </w:t>
              <w:br/>
              <w:t>Price Per Share</w:t>
            </w:r>
          </w:p>
        </w:tc>
        <w:tc>
          <w:tcPr>
            <w:tcW w:w="146" w:type="dxa"/>
            <w:tcBorders/>
            <w:vAlign w:val="bottom"/>
          </w:tcPr>
          <w:p>
            <w:pPr>
              <w:pStyle w:val="TableContents"/>
              <w:bidi w:val="0"/>
              <w:spacing w:before="0" w:after="283"/>
              <w:jc w:val="left"/>
              <w:rPr/>
            </w:pPr>
            <w:r>
              <w:rPr/>
              <w:t> </w:t>
            </w:r>
          </w:p>
        </w:tc>
        <w:tc>
          <w:tcPr>
            <w:tcW w:w="20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Registered </w:t>
              <w:br/>
              <w:t xml:space="preserve">Shares to be Issued if </w:t>
              <w:br/>
              <w:t>Full Purchase(1)</w:t>
            </w:r>
          </w:p>
        </w:tc>
        <w:tc>
          <w:tcPr>
            <w:tcW w:w="146" w:type="dxa"/>
            <w:tcBorders/>
            <w:vAlign w:val="bottom"/>
          </w:tcPr>
          <w:p>
            <w:pPr>
              <w:pStyle w:val="TableContents"/>
              <w:bidi w:val="0"/>
              <w:spacing w:before="0" w:after="283"/>
              <w:jc w:val="left"/>
              <w:rPr/>
            </w:pPr>
            <w:r>
              <w:rPr/>
              <w:t> </w:t>
            </w:r>
          </w:p>
        </w:tc>
        <w:tc>
          <w:tcPr>
            <w:tcW w:w="219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Outstanding Shares </w:t>
              <w:br/>
              <w:t xml:space="preserve">After Giving Effect to </w:t>
              <w:br/>
              <w:t xml:space="preserve">the Issuance to B. Riley </w:t>
              <w:br/>
              <w:t>Principal Capital II(2)</w:t>
            </w:r>
          </w:p>
        </w:tc>
        <w:tc>
          <w:tcPr>
            <w:tcW w:w="146" w:type="dxa"/>
            <w:tcBorders/>
            <w:vAlign w:val="bottom"/>
          </w:tcPr>
          <w:p>
            <w:pPr>
              <w:pStyle w:val="TableContents"/>
              <w:bidi w:val="0"/>
              <w:spacing w:before="0" w:after="283"/>
              <w:jc w:val="left"/>
              <w:rPr/>
            </w:pPr>
            <w:r>
              <w:rPr/>
              <w:t> </w:t>
            </w:r>
          </w:p>
        </w:tc>
        <w:tc>
          <w:tcPr>
            <w:tcW w:w="246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Proceeds from </w:t>
              <w:br/>
              <w:t xml:space="preserve">the Sale of Shares to </w:t>
              <w:br/>
              <w:t xml:space="preserve">B. Riley Principal Capital II </w:t>
              <w:br/>
              <w:t xml:space="preserve">Under the Purchase </w:t>
              <w:br/>
              <w:t>Agreement</w:t>
            </w:r>
          </w:p>
        </w:tc>
      </w:tr>
      <w:tr>
        <w:trPr/>
        <w:tc>
          <w:tcPr>
            <w:tcW w:w="30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3,209,360</w:t>
            </w:r>
          </w:p>
        </w:tc>
        <w:tc>
          <w:tcPr>
            <w:tcW w:w="146" w:type="dxa"/>
            <w:tcBorders/>
            <w:shd w:fill="CCEEFF" w:val="clear"/>
            <w:vAlign w:val="bottom"/>
          </w:tcPr>
          <w:p>
            <w:pPr>
              <w:pStyle w:val="TableContents"/>
              <w:bidi w:val="0"/>
              <w:spacing w:before="0" w:after="283"/>
              <w:jc w:val="left"/>
              <w:rPr/>
            </w:pPr>
            <w:r>
              <w:rPr/>
              <w:t> </w:t>
            </w:r>
          </w:p>
        </w:tc>
        <w:tc>
          <w:tcPr>
            <w:tcW w:w="14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7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3,209,360</w:t>
            </w:r>
          </w:p>
        </w:tc>
      </w:tr>
      <w:tr>
        <w:trPr/>
        <w:tc>
          <w:tcPr>
            <w:tcW w:w="30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146" w:type="dxa"/>
            <w:tcBorders/>
            <w:vAlign w:val="bottom"/>
          </w:tcPr>
          <w:p>
            <w:pPr>
              <w:pStyle w:val="TableContents"/>
              <w:bidi w:val="0"/>
              <w:spacing w:before="0" w:after="283"/>
              <w:jc w:val="left"/>
              <w:rPr/>
            </w:pPr>
            <w:r>
              <w:rPr/>
              <w:t> </w:t>
            </w:r>
          </w:p>
        </w:tc>
        <w:tc>
          <w:tcPr>
            <w:tcW w:w="20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3,209,360</w:t>
            </w:r>
          </w:p>
        </w:tc>
        <w:tc>
          <w:tcPr>
            <w:tcW w:w="146" w:type="dxa"/>
            <w:tcBorders/>
            <w:vAlign w:val="bottom"/>
          </w:tcPr>
          <w:p>
            <w:pPr>
              <w:pStyle w:val="TableContents"/>
              <w:bidi w:val="0"/>
              <w:spacing w:before="0" w:after="283"/>
              <w:jc w:val="left"/>
              <w:rPr/>
            </w:pPr>
            <w:r>
              <w:rPr/>
              <w:t> </w:t>
            </w:r>
          </w:p>
        </w:tc>
        <w:tc>
          <w:tcPr>
            <w:tcW w:w="14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7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6,418,720</w:t>
            </w:r>
          </w:p>
        </w:tc>
      </w:tr>
      <w:tr>
        <w:trPr/>
        <w:tc>
          <w:tcPr>
            <w:tcW w:w="30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w:t>
            </w:r>
          </w:p>
        </w:tc>
        <w:tc>
          <w:tcPr>
            <w:tcW w:w="146"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3,209,360</w:t>
            </w:r>
          </w:p>
        </w:tc>
        <w:tc>
          <w:tcPr>
            <w:tcW w:w="146" w:type="dxa"/>
            <w:tcBorders/>
            <w:shd w:fill="CCEEFF" w:val="clear"/>
            <w:vAlign w:val="bottom"/>
          </w:tcPr>
          <w:p>
            <w:pPr>
              <w:pStyle w:val="TableContents"/>
              <w:bidi w:val="0"/>
              <w:spacing w:before="0" w:after="283"/>
              <w:jc w:val="left"/>
              <w:rPr/>
            </w:pPr>
            <w:r>
              <w:rPr/>
              <w:t> </w:t>
            </w:r>
          </w:p>
        </w:tc>
        <w:tc>
          <w:tcPr>
            <w:tcW w:w="142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77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8,119,680</w:t>
            </w:r>
          </w:p>
        </w:tc>
      </w:tr>
      <w:tr>
        <w:trPr/>
        <w:tc>
          <w:tcPr>
            <w:tcW w:w="30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146" w:type="dxa"/>
            <w:tcBorders/>
            <w:vAlign w:val="bottom"/>
          </w:tcPr>
          <w:p>
            <w:pPr>
              <w:pStyle w:val="TableContents"/>
              <w:bidi w:val="0"/>
              <w:spacing w:before="0" w:after="283"/>
              <w:jc w:val="left"/>
              <w:rPr/>
            </w:pPr>
            <w:r>
              <w:rPr/>
              <w:t> </w:t>
            </w:r>
          </w:p>
        </w:tc>
        <w:tc>
          <w:tcPr>
            <w:tcW w:w="20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3,209,360</w:t>
            </w:r>
          </w:p>
        </w:tc>
        <w:tc>
          <w:tcPr>
            <w:tcW w:w="146" w:type="dxa"/>
            <w:tcBorders/>
            <w:vAlign w:val="bottom"/>
          </w:tcPr>
          <w:p>
            <w:pPr>
              <w:pStyle w:val="TableContents"/>
              <w:bidi w:val="0"/>
              <w:spacing w:before="0" w:after="283"/>
              <w:jc w:val="left"/>
              <w:rPr/>
            </w:pPr>
            <w:r>
              <w:rPr/>
              <w:t> </w:t>
            </w:r>
          </w:p>
        </w:tc>
        <w:tc>
          <w:tcPr>
            <w:tcW w:w="14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7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9,628,080</w:t>
            </w:r>
          </w:p>
        </w:tc>
      </w:tr>
      <w:tr>
        <w:trPr/>
        <w:tc>
          <w:tcPr>
            <w:tcW w:w="30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shd w:fill="CCEEFF" w:val="clear"/>
            <w:vAlign w:val="bottom"/>
          </w:tcPr>
          <w:p>
            <w:pPr>
              <w:pStyle w:val="TableContents"/>
              <w:bidi w:val="0"/>
              <w:spacing w:before="0" w:after="283"/>
              <w:jc w:val="left"/>
              <w:rPr/>
            </w:pPr>
            <w:r>
              <w:rPr/>
              <w:t> </w:t>
            </w:r>
          </w:p>
        </w:tc>
        <w:tc>
          <w:tcPr>
            <w:tcW w:w="20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w:t>
            </w:r>
          </w:p>
        </w:tc>
        <w:tc>
          <w:tcPr>
            <w:tcW w:w="146" w:type="dxa"/>
            <w:tcBorders/>
            <w:shd w:fill="CCEEFF" w:val="clear"/>
            <w:vAlign w:val="bottom"/>
          </w:tcPr>
          <w:p>
            <w:pPr>
              <w:pStyle w:val="TableContents"/>
              <w:bidi w:val="0"/>
              <w:spacing w:before="0" w:after="283"/>
              <w:jc w:val="left"/>
              <w:rPr/>
            </w:pPr>
            <w:r>
              <w:rPr/>
              <w:t> </w:t>
            </w:r>
          </w:p>
        </w:tc>
        <w:tc>
          <w:tcPr>
            <w:tcW w:w="14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c>
          <w:tcPr>
            <w:tcW w:w="7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r>
      <w:tr>
        <w:trPr/>
        <w:tc>
          <w:tcPr>
            <w:tcW w:w="30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146" w:type="dxa"/>
            <w:tcBorders/>
            <w:vAlign w:val="bottom"/>
          </w:tcPr>
          <w:p>
            <w:pPr>
              <w:pStyle w:val="TableContents"/>
              <w:bidi w:val="0"/>
              <w:spacing w:before="0" w:after="283"/>
              <w:jc w:val="left"/>
              <w:rPr/>
            </w:pPr>
            <w:r>
              <w:rPr/>
              <w:t> </w:t>
            </w:r>
          </w:p>
        </w:tc>
        <w:tc>
          <w:tcPr>
            <w:tcW w:w="20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w:t>
            </w:r>
          </w:p>
        </w:tc>
        <w:tc>
          <w:tcPr>
            <w:tcW w:w="146" w:type="dxa"/>
            <w:tcBorders/>
            <w:vAlign w:val="bottom"/>
          </w:tcPr>
          <w:p>
            <w:pPr>
              <w:pStyle w:val="TableContents"/>
              <w:bidi w:val="0"/>
              <w:spacing w:before="0" w:after="283"/>
              <w:jc w:val="left"/>
              <w:rPr/>
            </w:pPr>
            <w:r>
              <w:rPr/>
              <w:t> </w:t>
            </w:r>
          </w:p>
        </w:tc>
        <w:tc>
          <w:tcPr>
            <w:tcW w:w="14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7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Excluding the 40,000 Commitment Shares that we issued to B. Riley Principal Capital II upon the execution of the Purchase Agreement on December 26, 2023. Although the Purchase Agreement provides that we may sell up to $10,000,000 of our Common Stock to B. Riley Principal Capital II, we are only registering 3,249,360 shares under the registration statement that includes this prospectus, including the 40,000 Commitment Shares, which may or may not cover all of the shares we ultimately sell to B. Riley Principal Capital II under the Purchase Agreement. We will not issue more than an aggregate of 3,249,360 shares of our Common Stock (the Exchange Cap, unless otherwise approved by our stockholders or if the average price per share paid by B. Riley Principal Capital II for all of the shares of Common Stock that we direct B. Riley Principal Capital II to purchase from us pursuant to the Purchase Agreement, if any, equals or exceeds $2.55 per share. The number of shares to be issued as set forth in this column (i) gives effect to the Exchange Cap and (ii) is without regard for the Beneficial Ownership Limitation.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denominator is based on 16,294,935 shares of Common Stock outstanding as of January 2, 2024 (which, for these purposes, includes the 40,000 Commitment Shares we issued to B. Riley Principal Capital II on December 26, 2023), adjusted to include the issuance of the number of shares set forth in the adjacent column that we would have sold to B. Riley Principal Capital II, assuming the average purchase price in the first column. The numerator is based on the number of shares issuable under the Purchase Agreement (that are the subject of this offering) at the corresponding assumed average purchase price set forth in the first column.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closing sale price of our Common Stock on Nasdaq on January 2,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11"/>
      <w:bookmarkEnd w:id="14"/>
      <w:r>
        <w:rPr>
          <w:rFonts w:ascii="Times New Roman PS Std;serif" w:hAnsi="Times New Roman PS Std;serif"/>
          <w:b/>
          <w:i w:val="false"/>
          <w:caps w:val="false"/>
          <w:smallCaps w:val="false"/>
          <w:sz w:val="20"/>
        </w:rPr>
        <w:t>MARKET INFORMATION FOR COMMON STOCK AND DIVIDEND POLICY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and Public Warrants are currently listed on Nasdaq under the symbols “MDAI” and “MDAIW,” respectively. As of January 2, 2024, there were 45 holders of record of our Common Stock and one holder of record of our Public Warrants. The actual number of stockholders of our Common Stock and the actual number of holders of our Warrants is greater than the number of record holders and includes holders of our Common Stock or Warrants whose shares of Common Stock or Warrants are held in street name by brokers and other nominees.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declared or paid any dividends on our capital stock to date. We anticipate that we will retain all of our future earnings, if any, for use in the operation and expansion of our business and do not anticipate paying cash dividends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2002"/>
      <w:bookmarkEnd w:id="15"/>
      <w:r>
        <w:rPr>
          <w:rFonts w:ascii="Times New Roman PS Std;serif" w:hAnsi="Times New Roman PS Std;serif"/>
          <w:b/>
          <w:i w:val="false"/>
          <w:caps w:val="false"/>
          <w:smallCaps w:val="false"/>
          <w:sz w:val="20"/>
        </w:rPr>
        <w:t xml:space="preserve">MANAGEMENT’S DISCUSSION AND ANALYSIS OF FINANCIAL CONDITION AND </w:t>
        <w:br/>
        <w:t>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Unless otherwise indicated or the context otherwise requires, references in this section to “we,” “our,” “us” or other similar terms refer to the business and operations of Spectral AI, Inc., and its subsidiaries or Legacy Spectral, prior to its business combination with Spectral MD Holdings, Ltd. The following discussion and analysis of our financial condition and results of operations should be read in conjunction with our audited annual and unaudited quarterly condensed financial statements and related notes, as well as Legacy Spectral’s audited annual consolidated financial statements as of and for the years ended December 31, 2022 and 2021 included elsewhere in this prospectus. In addition to historical data, this discussion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about our business, results of operations, cash flows, financial condition and prospects based on current expectations that involve risks, uncertainties and assumptions. Our actual results could differ materially from such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Factors that could cause or contribute to those differences include, but are not limited to, those identified below and those discussed in the sections titled “Risk Factors” and “Cautionary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Additionally, our historical results are not necessarily indicative of the results that may be expected for any period in the future.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AI company focused on predictive medical diagnostics. We operate in one segment. We are devoting substantially all of our efforts towards research and development of our DeepView System, an internally developed multi-spectral imaging (“MSI”) component incorporated with AI predicative analytic software applications, which has designated FDA breakthrough device designation (“BDD”) status. Our DeepView System uses proprietary algorithms to distinguish between damaged and healthy human tissue invisible to the naked eye, providing a prediction of a wound’s future healing capability. DeepView’s output is specifically engineered to assist the physician in making a more accurate, timely and informed decision regarding the treatment of the patient’s wound. Our focus from 2013 through 2021 was on the burn indication. In 2022 and 2023, we expanded our focus to include the diabetic foot ulcer (“DFU”) indication.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nine months ended September 30, 2023 and the year ended December 31 2022, on a consolidated basis (as if consolidated for the nine months ended September 30, 2023 and the year ended December 31, 2022), we incurred a net loss of $21.0 million and an income of $8.1 million, respectively, and on a consolidated basis our cash balance at September 30, 2023 was $7.3 million. We had an accumulated deficit of $29.2 million as of September 30, 2023. Our losses have resulted primarily from costs incurred in connection with our design, manufacturing and development activities, research and development activities, building our commercial infrastructure, legal, and general and administrative expenses associated with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the Company has $7.3 million of cash available as of September 30, 2023. On September 27, 2023, the Company executed a new contract with BARDA, providing the Company with additional funding of up to $149.9 million, including an initial award of approximately $55.0 million to support the clinical validation and FDA clearance of our DeepView System, The Company will utilize its existing cash balance and the initial award from BARDA for its near-term liquidity and operating needs. The Company believes that it has sufficient cash and revenue from its BARDA contract to support its operations until it is able to obtain equity or debt investments on terms acceptable to the Company to meet its expected operating cash-flow needs for its burn, DFU and other indication research and development. To the extent additional capital is necessary, there are no assurances that we will be able to raise additional capital on favorable terms or at all, and therefore we may not be able to execute our business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know whether or when we will become profitable. Our ability to generate revenue and achieve profitability will depend upon our ability, alone or with others, to complete the development of our DeepView System, including receipt of the necessary regulatory clearances, approvals, or classifications and thereafter to successfully commercialize our DeepView System. We may be unable to achieve these goals. We may also encounter unforeseen expenses, difficulties, complications, delays and other known and unknown factors and risks frequently experienced by medical device companies in rapidly evolving fields. In addition, the Company’s ability to develop its DeepView System for multiple indications requires research and development costs that may exceed the Company’s current cash balance. The Company may need to seek additional equity or debt investments to meet its projected operating costs for the timely development of the DeepView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DFUs, a non-healing assessment would provide the physician with an objective assessment to use an advanced wound care therapy on “Day One”, in seconds, as opposed to the current approach that involves waiting up to 30 days to see how the wound develops before making such clinical assessment.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burn wounds, a non-healing assessment could aid the clinician in making an immediate and objective determination for appropriate candidates for surgery, as well as determining what specific areas of the burn wound will require excision and skin grafting. DeepView’s current accuracy for burn wounds is 92% for adults and 88% for pediatrics, compared with current physician accuracy of 50% to 75%, respectively, at best, according to industry literature.1 In addition, in head-to-head clinical trial evaluations, when compared against the “ground truth”, the DeepView System provided higher accuracy on burn wound analysis than the accuracy of burn specialists, reporting at 70 – 80% accuracy, and against non-burn specialist physicians, reporting at 50 – 60% accuracy.2 We have conducted three large clinical studies with multiple sites across the United States, enrolling 413 burn patients, including 329 adult and 84 pediatric patients. Through these studies, we were able to identify the burn assessment accuracy in both healing and non-healing tissue.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generated any product revenue to date. We have received substantial support from the U.S. government for our DeepView System’s application for burn wounds, including from agencies such as the Biomedical Advanced Research and Development Authority (“BARDA”), which is part of the HHS Office of the Assistant Secretary for Preparedness and Response in the United States, established to aid in securing the United States from chemical, biological, radiological, and nuclear threats, as well as from pandemic influenza and emerging infectious diseases. We have also received funding from the National Science Foundation (the “NSF”), the National Institute of Health (the “NIH”) and the Defense Health Agency (the “DHA”). Since 2013, we have received approximately $279.0 million in funding commitments from government contracts, primarily from BARDA, which accounts for $271.9 million. This has allowed us to develop our technology and further our clinical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2023, we executed our third contract with BARDA for a multi-year Project BioShield (“PBS”) contract, valued at up to approximately $149 million (the “PBS BARDA Contract”). This multi-year contract includes our initial award of nearly $55.0 million to support the clinical validation and FDA clearance of DeepView® for commercial marketing and distribution purposes. We are also currently completing our second contract with BARDA, referred to as the BARDA Burn II contract, which was signed in July 2019 and is due to be completed in July 2024. Under this contract, we expect to further the DeepView System design, refine the AI algorithm, and take the necessary steps to obtain FDA approval for our DeepView GEN 3 System. However, approval from the FDA or other regulatory agencies, foreign or domestic, cannot be guaranteed and may take longer than planned. In August 2022, we also received the Option 1B extension of the BARDA Burn II contract, which is valued at an additional $8.2 million, bringing the total funding received from Option 1 of the BARDA Burn II contract to $47.6 million, since July 2021, under Option 1A and 1B (including modification), to execute the adult and pediatric multi-center clinical training study. This grant funding is non-dilutive to our shareholders, and we believe it validates the important nature of our mission and technology.</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2023, we received a $4.0 million grant award from the Medical Technology Enterprise Consortium (“MTEC”), which, building on prior awards from DHA, is to be used to support military battlefield burn evaluation via a handheld DeepView (the “MTEC Agreement”). The MTEC Agreement extends the DHA Phase II contract for the development of the handheld device of the DeepView System. Under the terms of the MTEC Agreement, MTEC will pay us a firm fixed fee based upon our achievement of certain milestones described in the agreement through April 5, 2025. The milestone payment schedule is based on a three phased approach to the development of our handheld device. Phase 1 of the MTEC Agreement began in April 2023 and extended through the third quarter of 2023 and is focused on the planning, design and testing of the handheld device for its intended applications. Phase 1 has a funding budget of $1.2 million. We are now in Phase 2, which is intended to run through October 2024 and encompasses the development, design modification and build-out of the handheld device to the U.S. government standards as identified in the design and commercialization plans for the device. Phase 2 has a funding budget of $1.6 million. Phase 3 of the MTEC Agreement addresses the complete manufacturing of the device, the process validation of the production and completion of up to thirty handheld devices. Phase 3 begins following completion of Phase 2 and is intended to run through April 2025 with a funding budget of approximately $1.2 million.</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Henk Hoeksema, Karlien Van de Sijpe, Thiery Tondu, Moustapha Hamdi, Koenraad Van Landuyt, Phillip Blondeel, Stan Monstrey, Accuracy of early burn depth assessment by laser Doppler imaging on different days post burn, Burns, Volume 35, Issue 1, 2009, Pages 36 – 45, ISSN 0305-4179. The above article was exploring laser doppler imaging as an objective technique to determine the depth of a burn wound and states “as has been demonstrated in several studies, a purely clinical, bedside evaluation of the burn depth in dermal burns is accurate only in about 50 – 75% of the cases.”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Rise of the (Learning) Machines: An Interim Analysis Assessing Burn Wound Healing; Jeffrey E. Carter, MD, FACS, et.al., </w:t>
      </w:r>
      <w:r>
        <w:rPr>
          <w:rFonts w:ascii="Times New Roman PS Std;serif" w:hAnsi="Times New Roman PS Std;serif"/>
          <w:b w:val="false"/>
          <w:i/>
          <w:caps w:val="false"/>
          <w:smallCaps w:val="false"/>
          <w:sz w:val="18"/>
        </w:rPr>
        <w:t>https://clinicaltrials.gov/ct2/show/NCT05023135</w:t>
      </w:r>
      <w:r>
        <w:rPr>
          <w:rFonts w:ascii="Times New Roman PS Std;serif" w:hAnsi="Times New Roman PS Std;serif"/>
          <w:b w:val="false"/>
          <w:i w:val="false"/>
          <w:caps w:val="false"/>
          <w:smallCaps w:val="false"/>
          <w:sz w:val="18"/>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the DeepView System will have two revenue streams, a SaMD (software as a medical device) model, and an imaging device component. The SaMD model applies a SaaS (software as a service) treatment for the DeepView System which will feature a software licensing fee that includes maintenance, image hosting, and access to algorithm updates. The proprietary imaging device accesses artificial intelligence algorithms and is a universal platform to house multiple clinical applications. Pricing for these components will be evaluated and strategically set per country and site-of-service for heightened customer adoption. On November 9, 2023, the Company has provided updated guidance of its anticipated revenues for the full year 2023 to approximate $17.4 million and 2024 revenues to approximate $28 million. The 2023 revised guidance reflected a significant reduction of the Company’s forecasted operating results from early 2023. The reduced revenues for 2023 reflected the Company’s completion of its validation study of its burn indication in early 2023 and reduced billings to BARDA prior to the award of the PBS BARDA Contract. In addition, 2023 revenue has also been negatively impacted by the Company’s revised workflow pursuant to the PBS BARDA Contract deliverables. As noted in the updated guidance, the Company expects increased revenues in 2024 from a full year of operations under the PBS BARDA Contract.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11, 2023, we consummated a business combination, pursuant to the business combination agreement dated April 11, 2023 (the “Business Combination Agreement”) by and among Spectral AI, Inc. (Previously, Rosecliff Acquisition Corp I (“Rosecliff”)), Ghost Merger Sub I (a wholly owned subsidiary of Rosecliff), Ghost Merger Sub II (a wholly owned subsidiary of Rosecliff) and Spectral MD Holdings, Ltd. (“Legacy Spectral”). Upon the closing of the Business Combination (the “Closing”), in sequential order: (a) Ghost Merger Sub I merged with and into Legacy Spectral, with Legacy Spectral continuing as the surviving company as our wholly owned subsidiary (the “Spectral Merger”) and then, (b) Legacy Spectral merged with and into Ghost Merger Sub II (the “SPAC Merger”, together with the Spectral Merger (the “Business Combination”)), with Ghost Merger Sub II (renamed Spectral MD Holdings LLC) surviving the SPAC Merger as our direct wholly-owned subsidiary. Upon the Closing, we changed our name from Rosecliff Acquisition Corp I to Spectral AI, Inc. (“Spectral AI”, the “Company” or the “Combined Company”). In addition, the Company cancelled the redeemable warrants that it issued to Rosecliff Acquisition Sponsor I LLC, a Delaware limited liability company (the “Sponsor”), in a private placement (the “Private Warrants”) in connection with the Company’s initial public offering on February 17, 2021 (the “Initial Public Offering”) at Closing, with the 8,433,333 redeemable warrants issued to the public in the Initial Public Offering (the “Public Warrants”) remaining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Business Combination, Rosecliff had 280,485 shares of RCLF Class A common stock, par value $0.0001 per share, issued and outstanding and held by public shareholders (the “Public Shares”) and 6,325,000 shares of Class B common stock, par value $0.0001 per share, issued and outstanding and held by the Sponsor (the “Sponsor Shares”). Upon the Closing, 5,445,000 of the Sponsor Shares were forfeited, in accordance with a letter agreement with the Sponsor, and the remaining 880,000 Sponsor Shares and 280,485 Public Shares, no longer designated Class A and Class B, were included in shares of the Company’s common stock, par value $0.0001 per share (the “Company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Business Combination, Legacy Spectral’s shares of common stock, par value $0.001 per share (“Legacy Spectral Common Stock”) were listed on the AIM market on the London Stock Exchange (delisted on September 7, 2023). In September 2023, prior to the Closing, Legacy Spectral issued 7,679,198 shares of Legacy Spectral Common Stock to certain investors in a private placement, in exchange for $3.4 million (the “Equity Raise”).Upon the Closing, all of Legacy Spectral’s issued and outstanding 145,380,871 shares of Legacy Spectral Common Stock, including the shares from the Equity Raise, were exchanged for 14,094,450 shares of Company Common Stock at an exchange ratio of 10.31 (the “Exchange Ratio”), meaning that the Company issued one share of Company Common Stock in exchange for 10.31 shares of Legacy Spectral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12, 2023, the Company began trading its shares of the Company Common Stock and the Public Warrants on the NASDAQ Capital Market (the “NASDAQ”) under the symbols “MDAI” and “MDAIW”, respectively. Prior to the Business Combination, the Company’s shares of Company Common Stock and Public Warrants were listed on the NASDAQ under the symbols “RCLF” and “RCLFW”,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2023, prior to the Closing, Legacy Spectral issued 7,679,198 shares of Legacy Spectral Common Stock, which was converted to 744,667 shares of Company Common Stock based on the Exchange Ratio, for $3.4 million (the “Equity Raise”).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was accounted for as a reverse recapitalization in accordance with GAAP. Under the guidance in Accounting Standards Codification (“ASC”) 805, Business Combinations, Rosecliff, which is the legal acquirer, has been treated as the “acquired” company for financial reporting purposes and Legacy Spectral has been treated as the accounting acquirer. This determination was primarily based on the following: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Legacy Spectral’s former shareholders has a majority of the voting power of Spectral AI;</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Legacy Spectral’s senior management comprises all of the senior management of Spectral AI;</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Legacy Spectral selected five of the six of the directors for the Board of Directors of Spectral AI;</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Legacy Spectral’s relative size of assets and operations compared to Rosecliff;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Legacy Spectral’s operations comprised the ongoing operations of Spectral AI.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for accounting purposes, the Business Combination was treated as the equivalent of a capital transaction in which Legacy Spectral issued stock for the net assets of Rosecliff prior to the Closing. Upon the Closing, the net assets of Rosecliff are stated at fair value, with no goodwill or other intangible assets recorded. All historical financial information presented in the unaudited condensed consolidated financial statements represents the accounts of Legacy Spectral at their historical cost as if Legacy Spectral is the predecessor to the Company. The unaudited condensed consolidated financial statements following the Closing reflect the results of the Combined Company’s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Public Company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the Business Combination, Spectral AI has continued as an SEC-registered and NASDAQ-listed company. We expect to hire additional staff and implement new processes and procedures to address public company requirements in anticipation of and following the completion of the Business Combination. We also expect to incur substantial additional expenses for, among other things, directors’ and officers’ liability insurance, director fees, internal control compliance, and additional costs for investor relations, accounting, audit, legal and other functions.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Operating and Financial Metrics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by our public competitors and are regularly used by security analysts, institutional investors, and other interested parties in analyzing operating performance and prospects. Adjusted EBITDA is a non-GAAP measure, as it is not a financial measure calculated in accordance with GAAP and should not be considered as a substitute for net (loss) income, calculated in accordance with GAAP. See “Non-GAAP Financial Measures” for additional information on adopted non-GAAP financial measures and a reconciliation of these non-GAAP measures to the most comparable GAAP measures.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these metrics for the three and nine months ended September 30, 2023 and 2022:</w:t>
      </w:r>
    </w:p>
    <w:tbl>
      <w:tblPr>
        <w:tblW w:w="9417" w:type="dxa"/>
        <w:jc w:val="left"/>
        <w:tblInd w:w="0" w:type="dxa"/>
        <w:tblLayout w:type="fixed"/>
        <w:tblCellMar>
          <w:top w:w="0" w:type="dxa"/>
          <w:left w:w="0" w:type="dxa"/>
          <w:bottom w:w="0" w:type="dxa"/>
          <w:right w:w="0" w:type="dxa"/>
        </w:tblCellMar>
      </w:tblPr>
      <w:tblGrid>
        <w:gridCol w:w="3646"/>
        <w:gridCol w:w="146"/>
        <w:gridCol w:w="226"/>
        <w:gridCol w:w="841"/>
        <w:gridCol w:w="286"/>
        <w:gridCol w:w="146"/>
        <w:gridCol w:w="226"/>
        <w:gridCol w:w="646"/>
        <w:gridCol w:w="286"/>
        <w:gridCol w:w="146"/>
        <w:gridCol w:w="226"/>
        <w:gridCol w:w="841"/>
        <w:gridCol w:w="286"/>
        <w:gridCol w:w="146"/>
        <w:gridCol w:w="226"/>
        <w:gridCol w:w="766"/>
        <w:gridCol w:w="331"/>
      </w:tblGrid>
      <w:tr>
        <w:trPr/>
        <w:tc>
          <w:tcPr>
            <w:tcW w:w="36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September 30,</w:t>
            </w:r>
          </w:p>
        </w:tc>
        <w:tc>
          <w:tcPr>
            <w:tcW w:w="146" w:type="dxa"/>
            <w:tcBorders/>
            <w:vAlign w:val="bottom"/>
          </w:tcPr>
          <w:p>
            <w:pPr>
              <w:pStyle w:val="TableContents"/>
              <w:bidi w:val="0"/>
              <w:spacing w:before="0" w:after="283"/>
              <w:jc w:val="left"/>
              <w:rPr/>
            </w:pPr>
            <w:r>
              <w:rPr/>
              <w:t> </w:t>
            </w:r>
          </w:p>
        </w:tc>
        <w:tc>
          <w:tcPr>
            <w:tcW w:w="282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Ended </w:t>
              <w:br/>
              <w:t>September 30,</w:t>
            </w:r>
          </w:p>
        </w:tc>
      </w:tr>
      <w:tr>
        <w:trPr/>
        <w:tc>
          <w:tcPr>
            <w:tcW w:w="3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32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625" w:type="dxa"/>
            <w:gridSpan w:val="1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3,440</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7,038</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12,769</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19,272</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3,227</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5,444</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8,329</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margin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(4,166</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(10,055</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(10,629</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(1,173</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(3,885</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(9,073</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“Non-GAAP Financial Measures” below for a reconciliation of net loss to Adjusted EBITDA.</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and development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define research and development revenue as revenue generated from the research, testing and development of the DeepView System as utilized in connection with our burn indication. This research and development revenue reflects applied research and experimental development costs relating to our burn application as developed in connection with our BARDA, MTEC and DHA contracts.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Gross Profit and Gross Margin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define gross profit as research and development revenue, less cost of revenue, and define gross margin, expressed as a percentage, as the ratio of gross profit to revenue. Gross profit and margin can be used to understand our financial performance and efficiency and as we begin commercialization, it will allow investors to evaluate our pricing strategy and compare against our competitors. Our management uses these metrics to make strategic decisions, pricing decisions, identifying areas for improvement, set targets for future performance and make informed decisions about how to allocate resources going forward.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Adjusted EBITDA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define adjusted earnings before interest, tax, depreciation and amortization (“Adjusted EBITDA”) as net loss excluding income taxes, depreciation of property and equipment, net interest income, stock compensation, transaction costs and any non-operating financial income and expense. See “— Non-GAAP Financial Measures” for a reconciliation of GAAP net loss to Adjusted EBITDA.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Factors that May Influence Future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financial results of operations may not be comparable from period to period due to several factors. Key factors affecting our results of operations are summarized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Revenue Sources.    </w:t>
      </w:r>
      <w:r>
        <w:rPr>
          <w:rFonts w:ascii="Times New Roman PS Std;serif" w:hAnsi="Times New Roman PS Std;serif"/>
          <w:b w:val="false"/>
          <w:i w:val="false"/>
          <w:caps w:val="false"/>
          <w:smallCaps w:val="false"/>
          <w:sz w:val="20"/>
        </w:rPr>
        <w:t>As a pre-commercialization company, we currently generate revenue almost exclusively from two U.S. governmental agencies. We are highly dependent upon the continuation of the existing U.S. governmental contract awards, as well as future governmental procurement or other awards. Our operating results may not be comparable between periods as the timing and amount of awards or procurements from the U.S. government may be inconsistent with the timing of prior awards, and due to the phasing of the development study schedules. Our revenues may continue to be almost exclusively dependent upon the terms of those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Gross Margin.    </w:t>
      </w:r>
      <w:r>
        <w:rPr>
          <w:rFonts w:ascii="Times New Roman PS Std;serif" w:hAnsi="Times New Roman PS Std;serif"/>
          <w:b w:val="false"/>
          <w:i w:val="false"/>
          <w:caps w:val="false"/>
          <w:smallCaps w:val="false"/>
          <w:sz w:val="20"/>
        </w:rPr>
        <w:t>As we begin commercial sales of the DeepView System, we may need to determine lower pricing and incentives to accelerate adoption and implementation of the DeepView System, which may negatively impact future revenue and gross margin percentages.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Managing our Supply Chain.    </w:t>
      </w:r>
      <w:r>
        <w:rPr>
          <w:rFonts w:ascii="Times New Roman PS Std;serif" w:hAnsi="Times New Roman PS Std;serif"/>
          <w:b w:val="false"/>
          <w:i w:val="false"/>
          <w:caps w:val="false"/>
          <w:smallCaps w:val="false"/>
          <w:sz w:val="20"/>
        </w:rPr>
        <w:t>We are reliant on contract manufacturers and suppliers to produce our components. While we have not been subject to any disruptions in our current production, there remain global supply chain challenges and logistics constraints, including component shortages, which may cause delays in critical components and inventory, longer lead times, increased costs and delays in product shipments. Our ability to grow depends, in part, on the ability of our contract manufacturers and suppliers to provide high quality services and deliver components and finished products on time and at reasonable costs. While we do not maintain sole-source suppliers, there is a concentration of suppliers which could lead to supply shortages, long lead times for components and supply changes. In the event we are unable to mitigate the impact of delays and/or price increases in raw materials, electronic components and freight, it could delay the manufacturing and installation of our products, which would adversely impact our cash flows and results of operations, including revenue and gross margin.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Components of Consolidated Statements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and Development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primary source of revenue is research and development revenue. Currently, we are highly dependent upon the reimbursements from BARDA for the burn diagnostic testing of our DeepView System. Our research and development revenue is affected by the amount of research and development that is expended each month with respect to our contract with BARDA and other U.S. governmental contract awards. During 2023, we received a grant under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MTEC Agreement which we earn based on the achievement of milestones. Our revenue growth is dependent on a number of factors including expanding the research and development expense under the BARDA contract, research and development reimbursed expenses relating to other contract awards from U.S. governmental agencies and the intended future commercial sales of our DeepView System.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consists primarily of direct and indirect costs associated with the research and development expenses relating to the BARDA and MTEC contracts. Our revenue costs are affected by the extent of research and development expenses as well as expansion of work on other U.S. governmental projects and the expanded applications for our DeepView System.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Gross Profit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may vary from period-to-period and is primarily affected by the current reimbursement rates under the BARDA contract and other U.S. governmental contract awards, as well as the percentage of revenue related to the BARDA contract as compared to the MTEC project. These reimbursement rates are fixed under each contact award. Our gross profit represents this reimbursement rate plus a variable component relating to non-reimbursed expenses incurred in connection with the work completed on these contracts.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Costs and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costs and expenses consist of general and administrative expense. These expenses primarily relate to salaries and related costs of our organization’s support and operations staff, consulting fees, rent, insurance and office expenses, and our non-revenue generating research and development expenses, primarily related to salaries and related costs and consulting fees.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primarily consists of transaction costs, primarily related to the Business Combination, net interest income, change in fair value of warrant liabilities and foreign exchange transaction gains/losses. Historic foreign exchange transaction loss primarily relates to changes in the exchange rate between the U.S. dollar and the British pound sterling for our deposit accounts that are denominated in British pound sterling. In addition, this amount includes costs associated with buying British pound sterling for payment of our employees and vendors in the UK.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consolidated statements of operations for the periods presented:</w:t>
      </w:r>
    </w:p>
    <w:tbl>
      <w:tblPr>
        <w:tblW w:w="9582" w:type="dxa"/>
        <w:jc w:val="left"/>
        <w:tblInd w:w="0" w:type="dxa"/>
        <w:tblLayout w:type="fixed"/>
        <w:tblCellMar>
          <w:top w:w="0" w:type="dxa"/>
          <w:left w:w="0" w:type="dxa"/>
          <w:bottom w:w="0" w:type="dxa"/>
          <w:right w:w="0" w:type="dxa"/>
        </w:tblCellMar>
      </w:tblPr>
      <w:tblGrid>
        <w:gridCol w:w="4081"/>
        <w:gridCol w:w="146"/>
        <w:gridCol w:w="226"/>
        <w:gridCol w:w="841"/>
        <w:gridCol w:w="181"/>
        <w:gridCol w:w="146"/>
        <w:gridCol w:w="226"/>
        <w:gridCol w:w="721"/>
        <w:gridCol w:w="181"/>
        <w:gridCol w:w="146"/>
        <w:gridCol w:w="226"/>
        <w:gridCol w:w="841"/>
        <w:gridCol w:w="181"/>
        <w:gridCol w:w="146"/>
        <w:gridCol w:w="226"/>
        <w:gridCol w:w="841"/>
        <w:gridCol w:w="226"/>
      </w:tblGrid>
      <w:tr>
        <w:trPr/>
        <w:tc>
          <w:tcPr>
            <w:tcW w:w="40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2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September 30,</w:t>
            </w:r>
          </w:p>
        </w:tc>
        <w:tc>
          <w:tcPr>
            <w:tcW w:w="146" w:type="dxa"/>
            <w:tcBorders/>
            <w:vAlign w:val="bottom"/>
          </w:tcPr>
          <w:p>
            <w:pPr>
              <w:pStyle w:val="TableContents"/>
              <w:bidi w:val="0"/>
              <w:spacing w:before="0" w:after="283"/>
              <w:jc w:val="left"/>
              <w:rPr/>
            </w:pPr>
            <w:r>
              <w:rPr/>
              <w:t> </w:t>
            </w:r>
          </w:p>
        </w:tc>
        <w:tc>
          <w:tcPr>
            <w:tcW w:w="26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Ended </w:t>
              <w:br/>
              <w:t>September 30,</w:t>
            </w:r>
          </w:p>
        </w:tc>
      </w:tr>
      <w:tr>
        <w:trPr/>
        <w:tc>
          <w:tcPr>
            <w:tcW w:w="4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355" w:type="dxa"/>
            <w:gridSpan w:val="1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12,769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19,272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costs and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15,499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costs and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15,499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(10,055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interest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transaction loss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income taxes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(17,276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benefit (provision)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and development revenue</w:t>
      </w:r>
    </w:p>
    <w:tbl>
      <w:tblPr>
        <w:tblW w:w="10205" w:type="dxa"/>
        <w:jc w:val="left"/>
        <w:tblInd w:w="0" w:type="dxa"/>
        <w:tblLayout w:type="fixed"/>
        <w:tblCellMar>
          <w:top w:w="0" w:type="dxa"/>
          <w:left w:w="0" w:type="dxa"/>
          <w:bottom w:w="0" w:type="dxa"/>
          <w:right w:w="0" w:type="dxa"/>
        </w:tblCellMar>
      </w:tblPr>
      <w:tblGrid>
        <w:gridCol w:w="1232"/>
        <w:gridCol w:w="146"/>
        <w:gridCol w:w="226"/>
        <w:gridCol w:w="646"/>
        <w:gridCol w:w="146"/>
        <w:gridCol w:w="226"/>
        <w:gridCol w:w="646"/>
        <w:gridCol w:w="146"/>
        <w:gridCol w:w="226"/>
        <w:gridCol w:w="721"/>
        <w:gridCol w:w="181"/>
        <w:gridCol w:w="146"/>
        <w:gridCol w:w="601"/>
        <w:gridCol w:w="286"/>
        <w:gridCol w:w="146"/>
        <w:gridCol w:w="226"/>
        <w:gridCol w:w="766"/>
        <w:gridCol w:w="146"/>
        <w:gridCol w:w="226"/>
        <w:gridCol w:w="766"/>
        <w:gridCol w:w="146"/>
        <w:gridCol w:w="226"/>
        <w:gridCol w:w="721"/>
        <w:gridCol w:w="181"/>
        <w:gridCol w:w="146"/>
        <w:gridCol w:w="601"/>
        <w:gridCol w:w="333"/>
      </w:tblGrid>
      <w:tr>
        <w:trPr/>
        <w:tc>
          <w:tcPr>
            <w:tcW w:w="123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September 30,</w:t>
            </w:r>
          </w:p>
        </w:tc>
        <w:tc>
          <w:tcPr>
            <w:tcW w:w="146" w:type="dxa"/>
            <w:tcBorders/>
            <w:vAlign w:val="bottom"/>
          </w:tcPr>
          <w:p>
            <w:pPr>
              <w:pStyle w:val="TableContents"/>
              <w:bidi w:val="0"/>
              <w:spacing w:before="0" w:after="283"/>
              <w:jc w:val="left"/>
              <w:rPr/>
            </w:pPr>
            <w:r>
              <w:rPr/>
              <w:t> </w:t>
            </w:r>
          </w:p>
        </w:tc>
        <w:tc>
          <w:tcPr>
            <w:tcW w:w="216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r>
          </w:p>
        </w:tc>
        <w:tc>
          <w:tcPr>
            <w:tcW w:w="146" w:type="dxa"/>
            <w:tcBorders/>
            <w:vAlign w:val="bottom"/>
          </w:tcPr>
          <w:p>
            <w:pPr>
              <w:pStyle w:val="TableContents"/>
              <w:bidi w:val="0"/>
              <w:spacing w:before="0" w:after="283"/>
              <w:jc w:val="left"/>
              <w:rPr/>
            </w:pPr>
            <w:r>
              <w:rPr/>
              <w:t> </w:t>
            </w:r>
          </w:p>
        </w:tc>
        <w:tc>
          <w:tcPr>
            <w:tcW w:w="213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September 30,</w:t>
            </w:r>
          </w:p>
        </w:tc>
        <w:tc>
          <w:tcPr>
            <w:tcW w:w="146" w:type="dxa"/>
            <w:tcBorders/>
            <w:vAlign w:val="bottom"/>
          </w:tcPr>
          <w:p>
            <w:pPr>
              <w:pStyle w:val="TableContents"/>
              <w:bidi w:val="0"/>
              <w:spacing w:before="0" w:after="283"/>
              <w:jc w:val="left"/>
              <w:rPr/>
            </w:pPr>
            <w:r>
              <w:rPr/>
              <w:t> </w:t>
            </w:r>
          </w:p>
        </w:tc>
        <w:tc>
          <w:tcPr>
            <w:tcW w:w="2208"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r>
          </w:p>
        </w:tc>
      </w:tr>
      <w:tr>
        <w:trPr/>
        <w:tc>
          <w:tcPr>
            <w:tcW w:w="12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2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27" w:type="dxa"/>
            <w:gridSpan w:val="2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12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12,769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19,272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33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revenue decreased by 51.1% and 33.7%, respectively, or approximately $3.6 million and $6.5 million, respectively, for the three and nine months ended September 30, 2023, as compared to the comparable periods in 2022, primarily due to decreased research and development work performed pursuant to the BARDA Burn II contract as clinical trials under this contract were nearing completion. New patient enrollments in our BARDA clinical study decreased in the three months ended September 30, 2023 compared to the three months ended September 30, 2022 as the Company is completing enrollment and transitioning to the closeout phase of the study.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nine months ended September 30, 2023 and 2022, the Company’s revenues disaggregated by the major sources was as follows:</w:t>
      </w:r>
    </w:p>
    <w:tbl>
      <w:tblPr>
        <w:tblW w:w="10752" w:type="dxa"/>
        <w:jc w:val="left"/>
        <w:tblInd w:w="0" w:type="dxa"/>
        <w:tblLayout w:type="fixed"/>
        <w:tblCellMar>
          <w:top w:w="0" w:type="dxa"/>
          <w:left w:w="0" w:type="dxa"/>
          <w:bottom w:w="0" w:type="dxa"/>
          <w:right w:w="0" w:type="dxa"/>
        </w:tblCellMar>
      </w:tblPr>
      <w:tblGrid>
        <w:gridCol w:w="1736"/>
        <w:gridCol w:w="146"/>
        <w:gridCol w:w="226"/>
        <w:gridCol w:w="646"/>
        <w:gridCol w:w="146"/>
        <w:gridCol w:w="226"/>
        <w:gridCol w:w="646"/>
        <w:gridCol w:w="146"/>
        <w:gridCol w:w="226"/>
        <w:gridCol w:w="721"/>
        <w:gridCol w:w="181"/>
        <w:gridCol w:w="146"/>
        <w:gridCol w:w="646"/>
        <w:gridCol w:w="286"/>
        <w:gridCol w:w="146"/>
        <w:gridCol w:w="226"/>
        <w:gridCol w:w="766"/>
        <w:gridCol w:w="146"/>
        <w:gridCol w:w="226"/>
        <w:gridCol w:w="766"/>
        <w:gridCol w:w="146"/>
        <w:gridCol w:w="226"/>
        <w:gridCol w:w="721"/>
        <w:gridCol w:w="181"/>
        <w:gridCol w:w="146"/>
        <w:gridCol w:w="601"/>
        <w:gridCol w:w="331"/>
      </w:tblGrid>
      <w:tr>
        <w:trPr/>
        <w:tc>
          <w:tcPr>
            <w:tcW w:w="17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September 30,</w:t>
            </w:r>
          </w:p>
        </w:tc>
        <w:tc>
          <w:tcPr>
            <w:tcW w:w="146" w:type="dxa"/>
            <w:tcBorders/>
            <w:vAlign w:val="bottom"/>
          </w:tcPr>
          <w:p>
            <w:pPr>
              <w:pStyle w:val="TableContents"/>
              <w:bidi w:val="0"/>
              <w:spacing w:before="0" w:after="283"/>
              <w:jc w:val="left"/>
              <w:rPr/>
            </w:pPr>
            <w:r>
              <w:rPr/>
              <w:t> </w:t>
            </w:r>
          </w:p>
        </w:tc>
        <w:tc>
          <w:tcPr>
            <w:tcW w:w="220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r>
          </w:p>
        </w:tc>
        <w:tc>
          <w:tcPr>
            <w:tcW w:w="146" w:type="dxa"/>
            <w:tcBorders/>
            <w:vAlign w:val="bottom"/>
          </w:tcPr>
          <w:p>
            <w:pPr>
              <w:pStyle w:val="TableContents"/>
              <w:bidi w:val="0"/>
              <w:spacing w:before="0" w:after="283"/>
              <w:jc w:val="left"/>
              <w:rPr/>
            </w:pPr>
            <w:r>
              <w:rPr/>
              <w:t> </w:t>
            </w:r>
          </w:p>
        </w:tc>
        <w:tc>
          <w:tcPr>
            <w:tcW w:w="213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September 30,</w:t>
            </w:r>
          </w:p>
        </w:tc>
        <w:tc>
          <w:tcPr>
            <w:tcW w:w="146" w:type="dxa"/>
            <w:tcBorders/>
            <w:vAlign w:val="bottom"/>
          </w:tcPr>
          <w:p>
            <w:pPr>
              <w:pStyle w:val="TableContents"/>
              <w:bidi w:val="0"/>
              <w:spacing w:before="0" w:after="283"/>
              <w:jc w:val="left"/>
              <w:rPr/>
            </w:pPr>
            <w:r>
              <w:rPr/>
              <w:t> </w:t>
            </w:r>
          </w:p>
        </w:tc>
        <w:tc>
          <w:tcPr>
            <w:tcW w:w="220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r>
          </w:p>
        </w:tc>
      </w:tr>
      <w:tr>
        <w:trPr/>
        <w:tc>
          <w:tcPr>
            <w:tcW w:w="1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70" w:type="dxa"/>
            <w:gridSpan w:val="2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1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BARDA</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18,866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(6,848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U.S. governmental authorities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185.2</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research and development revenue</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3,440</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7,038</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12,769</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19,272</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 and Gross Profit</w:t>
      </w:r>
    </w:p>
    <w:tbl>
      <w:tblPr>
        <w:tblW w:w="10711" w:type="dxa"/>
        <w:jc w:val="left"/>
        <w:tblInd w:w="0" w:type="dxa"/>
        <w:tblLayout w:type="fixed"/>
        <w:tblCellMar>
          <w:top w:w="0" w:type="dxa"/>
          <w:left w:w="0" w:type="dxa"/>
          <w:bottom w:w="0" w:type="dxa"/>
          <w:right w:w="0" w:type="dxa"/>
        </w:tblCellMar>
      </w:tblPr>
      <w:tblGrid>
        <w:gridCol w:w="716"/>
        <w:gridCol w:w="146"/>
        <w:gridCol w:w="226"/>
        <w:gridCol w:w="646"/>
        <w:gridCol w:w="286"/>
        <w:gridCol w:w="146"/>
        <w:gridCol w:w="226"/>
        <w:gridCol w:w="646"/>
        <w:gridCol w:w="286"/>
        <w:gridCol w:w="146"/>
        <w:gridCol w:w="226"/>
        <w:gridCol w:w="721"/>
        <w:gridCol w:w="181"/>
        <w:gridCol w:w="146"/>
        <w:gridCol w:w="601"/>
        <w:gridCol w:w="286"/>
        <w:gridCol w:w="146"/>
        <w:gridCol w:w="226"/>
        <w:gridCol w:w="646"/>
        <w:gridCol w:w="286"/>
        <w:gridCol w:w="146"/>
        <w:gridCol w:w="226"/>
        <w:gridCol w:w="766"/>
        <w:gridCol w:w="286"/>
        <w:gridCol w:w="146"/>
        <w:gridCol w:w="226"/>
        <w:gridCol w:w="721"/>
        <w:gridCol w:w="181"/>
        <w:gridCol w:w="146"/>
        <w:gridCol w:w="601"/>
        <w:gridCol w:w="331"/>
      </w:tblGrid>
      <w:tr>
        <w:trPr/>
        <w:tc>
          <w:tcPr>
            <w:tcW w:w="7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6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September 30,</w:t>
            </w:r>
          </w:p>
        </w:tc>
        <w:tc>
          <w:tcPr>
            <w:tcW w:w="146" w:type="dxa"/>
            <w:tcBorders/>
            <w:vAlign w:val="bottom"/>
          </w:tcPr>
          <w:p>
            <w:pPr>
              <w:pStyle w:val="TableContents"/>
              <w:bidi w:val="0"/>
              <w:spacing w:before="0" w:after="283"/>
              <w:jc w:val="left"/>
              <w:rPr/>
            </w:pPr>
            <w:r>
              <w:rPr/>
              <w:t> </w:t>
            </w:r>
          </w:p>
        </w:tc>
        <w:tc>
          <w:tcPr>
            <w:tcW w:w="216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r>
          </w:p>
        </w:tc>
        <w:tc>
          <w:tcPr>
            <w:tcW w:w="146" w:type="dxa"/>
            <w:tcBorders/>
            <w:vAlign w:val="bottom"/>
          </w:tcPr>
          <w:p>
            <w:pPr>
              <w:pStyle w:val="TableContents"/>
              <w:bidi w:val="0"/>
              <w:spacing w:before="0" w:after="283"/>
              <w:jc w:val="left"/>
              <w:rPr/>
            </w:pPr>
            <w:r>
              <w:rPr/>
              <w:t> </w:t>
            </w:r>
          </w:p>
        </w:tc>
        <w:tc>
          <w:tcPr>
            <w:tcW w:w="258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September 30,</w:t>
            </w:r>
          </w:p>
        </w:tc>
        <w:tc>
          <w:tcPr>
            <w:tcW w:w="146" w:type="dxa"/>
            <w:tcBorders/>
            <w:vAlign w:val="bottom"/>
          </w:tcPr>
          <w:p>
            <w:pPr>
              <w:pStyle w:val="TableContents"/>
              <w:bidi w:val="0"/>
              <w:spacing w:before="0" w:after="283"/>
              <w:jc w:val="left"/>
              <w:rPr/>
            </w:pPr>
            <w:r>
              <w:rPr/>
              <w:t> </w:t>
            </w:r>
          </w:p>
        </w:tc>
        <w:tc>
          <w:tcPr>
            <w:tcW w:w="220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r>
          </w:p>
        </w:tc>
      </w:tr>
      <w:tr>
        <w:trPr/>
        <w:tc>
          <w:tcPr>
            <w:tcW w:w="7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849" w:type="dxa"/>
            <w:gridSpan w:val="29"/>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1,968</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3,811</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10,943</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3,227</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5,444</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8,329</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margin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for the three and nine months ended September 30, 2023 compared to the comparable periods in 2022 decreased by 48.4% and 33.1%, respectively, or approximately $1.8 million and $3.6 million, respectively, primarily due to decreased activity to fulfill our U.S. governmental contracts, which is consistent with decreased research and development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margin for the three months ended September 30, 2023 decreased 3.1% as compared to the comparable period in 2022 primarily due to beginning the MTEC contract, which has a lower gross margin, during 2023. Gross margin was relatively consistent for nine months ended September 30, 2023, as compared to the comparable periods in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 and Administrative Expense</w:t>
      </w:r>
    </w:p>
    <w:tbl>
      <w:tblPr>
        <w:tblW w:w="10205" w:type="dxa"/>
        <w:jc w:val="left"/>
        <w:tblInd w:w="0" w:type="dxa"/>
        <w:tblLayout w:type="fixed"/>
        <w:tblCellMar>
          <w:top w:w="0" w:type="dxa"/>
          <w:left w:w="0" w:type="dxa"/>
          <w:bottom w:w="0" w:type="dxa"/>
          <w:right w:w="0" w:type="dxa"/>
        </w:tblCellMar>
      </w:tblPr>
      <w:tblGrid>
        <w:gridCol w:w="2016"/>
        <w:gridCol w:w="146"/>
        <w:gridCol w:w="226"/>
        <w:gridCol w:w="646"/>
        <w:gridCol w:w="146"/>
        <w:gridCol w:w="226"/>
        <w:gridCol w:w="646"/>
        <w:gridCol w:w="146"/>
        <w:gridCol w:w="226"/>
        <w:gridCol w:w="646"/>
        <w:gridCol w:w="146"/>
        <w:gridCol w:w="526"/>
        <w:gridCol w:w="286"/>
        <w:gridCol w:w="146"/>
        <w:gridCol w:w="226"/>
        <w:gridCol w:w="766"/>
        <w:gridCol w:w="146"/>
        <w:gridCol w:w="226"/>
        <w:gridCol w:w="646"/>
        <w:gridCol w:w="146"/>
        <w:gridCol w:w="226"/>
        <w:gridCol w:w="646"/>
        <w:gridCol w:w="146"/>
        <w:gridCol w:w="526"/>
        <w:gridCol w:w="331"/>
      </w:tblGrid>
      <w:tr>
        <w:trPr/>
        <w:tc>
          <w:tcPr>
            <w:tcW w:w="2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September 30,</w:t>
            </w:r>
          </w:p>
        </w:tc>
        <w:tc>
          <w:tcPr>
            <w:tcW w:w="146" w:type="dxa"/>
            <w:tcBorders/>
            <w:vAlign w:val="bottom"/>
          </w:tcPr>
          <w:p>
            <w:pPr>
              <w:pStyle w:val="TableContents"/>
              <w:bidi w:val="0"/>
              <w:spacing w:before="0" w:after="283"/>
              <w:jc w:val="left"/>
              <w:rPr/>
            </w:pPr>
            <w:r>
              <w:rPr/>
              <w:t> </w:t>
            </w:r>
          </w:p>
        </w:tc>
        <w:tc>
          <w:tcPr>
            <w:tcW w:w="183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r>
          </w:p>
        </w:tc>
        <w:tc>
          <w:tcPr>
            <w:tcW w:w="146" w:type="dxa"/>
            <w:tcBorders/>
            <w:vAlign w:val="bottom"/>
          </w:tcPr>
          <w:p>
            <w:pPr>
              <w:pStyle w:val="TableContents"/>
              <w:bidi w:val="0"/>
              <w:spacing w:before="0" w:after="283"/>
              <w:jc w:val="left"/>
              <w:rPr/>
            </w:pPr>
            <w:r>
              <w:rPr/>
              <w:t> </w:t>
            </w:r>
          </w:p>
        </w:tc>
        <w:tc>
          <w:tcPr>
            <w:tcW w:w="201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September 30,</w:t>
            </w:r>
          </w:p>
        </w:tc>
        <w:tc>
          <w:tcPr>
            <w:tcW w:w="146" w:type="dxa"/>
            <w:tcBorders/>
            <w:vAlign w:val="bottom"/>
          </w:tcPr>
          <w:p>
            <w:pPr>
              <w:pStyle w:val="TableContents"/>
              <w:bidi w:val="0"/>
              <w:spacing w:before="0" w:after="283"/>
              <w:jc w:val="left"/>
              <w:rPr/>
            </w:pPr>
            <w:r>
              <w:rPr/>
              <w:t> </w:t>
            </w:r>
          </w:p>
        </w:tc>
        <w:tc>
          <w:tcPr>
            <w:tcW w:w="187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r>
          </w:p>
        </w:tc>
      </w:tr>
      <w:tr>
        <w:trPr/>
        <w:tc>
          <w:tcPr>
            <w:tcW w:w="2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043" w:type="dxa"/>
            <w:gridSpan w:val="2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15,499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6,292</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 increased by 62.1% and 68.3%, respectively, or approximately $2.2 million and $6.2 million, respectively, for the three and nine months ended September 30, 2023, as compared to the comparable periods in 2022. The increase was primarily due to an increase in our administrative staffing since 2022. Our headcount grew from 63 employees as of September 30, 2022 to 83 full-time employees as of September 30, 2023 resulting in an increase in general and administrative expense of approximately $0.7 million and $3.5 million, respectively, for the three and nine months ended September 30, 2023. Additionally, non-revenue generating research and development activities, primarily related to salaries and related costs and consulting fees, have increased by approximately $1.2 million and $2.8 million, respectively, in the three and nine months ended September 30, 2023 compared to the comparable periods in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w:t>
      </w:r>
    </w:p>
    <w:tbl>
      <w:tblPr>
        <w:tblW w:w="10205" w:type="dxa"/>
        <w:jc w:val="left"/>
        <w:tblInd w:w="0" w:type="dxa"/>
        <w:tblLayout w:type="fixed"/>
        <w:tblCellMar>
          <w:top w:w="0" w:type="dxa"/>
          <w:left w:w="0" w:type="dxa"/>
          <w:bottom w:w="0" w:type="dxa"/>
          <w:right w:w="0" w:type="dxa"/>
        </w:tblCellMar>
      </w:tblPr>
      <w:tblGrid>
        <w:gridCol w:w="2886"/>
        <w:gridCol w:w="146"/>
        <w:gridCol w:w="226"/>
        <w:gridCol w:w="721"/>
        <w:gridCol w:w="181"/>
        <w:gridCol w:w="146"/>
        <w:gridCol w:w="226"/>
        <w:gridCol w:w="421"/>
        <w:gridCol w:w="181"/>
        <w:gridCol w:w="146"/>
        <w:gridCol w:w="236"/>
        <w:gridCol w:w="756"/>
        <w:gridCol w:w="189"/>
        <w:gridCol w:w="146"/>
        <w:gridCol w:w="226"/>
        <w:gridCol w:w="721"/>
        <w:gridCol w:w="181"/>
        <w:gridCol w:w="146"/>
        <w:gridCol w:w="226"/>
        <w:gridCol w:w="541"/>
        <w:gridCol w:w="181"/>
        <w:gridCol w:w="146"/>
        <w:gridCol w:w="236"/>
        <w:gridCol w:w="754"/>
        <w:gridCol w:w="240"/>
      </w:tblGrid>
      <w:tr>
        <w:trPr/>
        <w:tc>
          <w:tcPr>
            <w:tcW w:w="28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0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September 30,</w:t>
            </w:r>
          </w:p>
        </w:tc>
        <w:tc>
          <w:tcPr>
            <w:tcW w:w="146" w:type="dxa"/>
            <w:tcBorders/>
            <w:vAlign w:val="bottom"/>
          </w:tcPr>
          <w:p>
            <w:pPr>
              <w:pStyle w:val="TableContents"/>
              <w:bidi w:val="0"/>
              <w:spacing w:before="0" w:after="283"/>
              <w:jc w:val="left"/>
              <w:rPr/>
            </w:pPr>
            <w:r>
              <w:rPr/>
              <w:t> </w:t>
            </w:r>
          </w:p>
        </w:tc>
        <w:tc>
          <w:tcPr>
            <w:tcW w:w="118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in </w:t>
              <w:br/>
              <w:t>$</w:t>
            </w:r>
          </w:p>
        </w:tc>
        <w:tc>
          <w:tcPr>
            <w:tcW w:w="146" w:type="dxa"/>
            <w:vMerge w:val="restart"/>
            <w:tcBorders/>
            <w:vAlign w:val="bottom"/>
          </w:tcPr>
          <w:p>
            <w:pPr>
              <w:pStyle w:val="TableContents"/>
              <w:bidi w:val="0"/>
              <w:spacing w:before="0" w:after="283"/>
              <w:jc w:val="left"/>
              <w:rPr/>
            </w:pPr>
            <w:r>
              <w:rPr/>
              <w:t> </w:t>
            </w:r>
          </w:p>
        </w:tc>
        <w:tc>
          <w:tcPr>
            <w:tcW w:w="222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September 30,</w:t>
            </w:r>
          </w:p>
        </w:tc>
        <w:tc>
          <w:tcPr>
            <w:tcW w:w="146" w:type="dxa"/>
            <w:tcBorders/>
            <w:vAlign w:val="bottom"/>
          </w:tcPr>
          <w:p>
            <w:pPr>
              <w:pStyle w:val="TableContents"/>
              <w:bidi w:val="0"/>
              <w:spacing w:before="0" w:after="283"/>
              <w:jc w:val="left"/>
              <w:rPr/>
            </w:pPr>
            <w:r>
              <w:rPr/>
              <w:t> </w:t>
            </w:r>
          </w:p>
        </w:tc>
        <w:tc>
          <w:tcPr>
            <w:tcW w:w="1230"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in </w:t>
              <w:br/>
              <w:t>$</w:t>
            </w:r>
          </w:p>
        </w:tc>
      </w:tr>
      <w:tr>
        <w:trPr/>
        <w:tc>
          <w:tcPr>
            <w:tcW w:w="2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8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8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30" w:type="dxa"/>
            <w:gridSpan w:val="3"/>
            <w:vMerge w:val="continue"/>
            <w:tcBorders/>
            <w:vAlign w:val="bottom"/>
          </w:tcPr>
          <w:p>
            <w:pPr>
              <w:pStyle w:val="Normal"/>
              <w:bidi w:val="0"/>
              <w:jc w:val="left"/>
              <w:rPr/>
            </w:pPr>
            <w:r>
              <w:rPr/>
            </w:r>
          </w:p>
        </w:tc>
      </w:tr>
      <w:tr>
        <w:trPr/>
        <w:tc>
          <w:tcPr>
            <w:tcW w:w="2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73" w:type="dxa"/>
            <w:gridSpan w:val="2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interest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Change in fair value of warrant </w:t>
              <w:br/>
              <w:t>liability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w:t>
            </w:r>
          </w:p>
        </w:tc>
        <w:tc>
          <w:tcPr>
            <w:tcW w:w="1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w:t>
            </w:r>
          </w:p>
        </w:tc>
        <w:tc>
          <w:tcPr>
            <w:tcW w:w="2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transaction loss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(7,604</w:t>
            </w:r>
          </w:p>
        </w:tc>
        <w:tc>
          <w:tcPr>
            <w:tcW w:w="18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(8,342</w:t>
            </w:r>
          </w:p>
        </w:tc>
        <w:tc>
          <w:tcPr>
            <w:tcW w:w="24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(6,517</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3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(6,473</w:t>
            </w:r>
          </w:p>
        </w:tc>
        <w:tc>
          <w:tcPr>
            <w:tcW w:w="18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(7,221</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3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4"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(7,017</w:t>
            </w:r>
          </w:p>
        </w:tc>
        <w:tc>
          <w:tcPr>
            <w:tcW w:w="24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interest income for the three and nine months ended September 30, 2023 primarily relates to cash interest received by us from our deposit accounts.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 increased by approximately $1.0 million for each of the three and nine months ended September 30, 2023, as compared to the comparable period in 2022. The income during the three and nine months ended September 30, 2023, was primarily due to the decrease in the fair value of the Public Warrants from the closing of the Business Combination to September 30,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transaction loss for the three and nine months ended September 30, 2022 relates to the decreased exchange rate between the U.S. dollar and the British pound sterling during the third quarter of 2022 for our deposit accounts that are denominated in British pound sterling. In addition, this amount includes costs associated with buying British pound sterling for payment of our employees and vendors in the UK. Foreign exchange transaction loss for the three and nine months ended September 30, 2023 is immaterial due to much lower balances in our deposit accounts and accounts payable denominated in British pound sterling and less fluctuation in the exchange rate between the U.S. dollar and the British pound sterling.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for the three and nine months ended September 30, 2023 primarily relate to non-recurring legal, accounting and consulting costs expended for the Business Combination.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Non-GAAP Financial Measures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Adjusted EBITDA as a non-GAAP metric when measuring performance, including when measuring current period results against prior periods’ Adjusted EBITDA. This non-GAAP financial measure should be considered in addition to results prepared in accordance with GAAP and should not be considered as a substitute for, or superior to, GAAP results. In addition, Adjusted EBITDA should not be construed as an indicator of our operating performance, liquidity or cash flows generated by operating, investing and financing activities, as there may be significant factors or trends that it fails to address.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their non-standardized definitions, non-GAAP measures (unlike GAAP measures) may not be comparable to the calculation of similar measures of other companies. We caution investors that non-GAAP financial information, by its nature, departs from traditional accounting conventions. Supplemental non-GAAP measures are presented solely to permit investors to more fully understand how Spectral AI’s management assesses underlying performance.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Adjusted EBITDA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define Adjusted EBITDA as net loss excluding income taxes, depreciation of property and equipment, net interest income, stock compensation, transaction costs and any non-operating financial income and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Adjusted EBITDA for the three and nine months ended September 30, 2023 and 2022:</w:t>
      </w:r>
    </w:p>
    <w:tbl>
      <w:tblPr>
        <w:tblW w:w="9522" w:type="dxa"/>
        <w:jc w:val="left"/>
        <w:tblInd w:w="0" w:type="dxa"/>
        <w:tblLayout w:type="fixed"/>
        <w:tblCellMar>
          <w:top w:w="0" w:type="dxa"/>
          <w:left w:w="0" w:type="dxa"/>
          <w:bottom w:w="0" w:type="dxa"/>
          <w:right w:w="0" w:type="dxa"/>
        </w:tblCellMar>
      </w:tblPr>
      <w:tblGrid>
        <w:gridCol w:w="3946"/>
        <w:gridCol w:w="146"/>
        <w:gridCol w:w="226"/>
        <w:gridCol w:w="946"/>
        <w:gridCol w:w="181"/>
        <w:gridCol w:w="146"/>
        <w:gridCol w:w="226"/>
        <w:gridCol w:w="601"/>
        <w:gridCol w:w="181"/>
        <w:gridCol w:w="146"/>
        <w:gridCol w:w="226"/>
        <w:gridCol w:w="946"/>
        <w:gridCol w:w="181"/>
        <w:gridCol w:w="146"/>
        <w:gridCol w:w="241"/>
        <w:gridCol w:w="811"/>
        <w:gridCol w:w="226"/>
      </w:tblGrid>
      <w:tr>
        <w:trPr/>
        <w:tc>
          <w:tcPr>
            <w:tcW w:w="39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0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September 30,</w:t>
            </w:r>
          </w:p>
        </w:tc>
        <w:tc>
          <w:tcPr>
            <w:tcW w:w="146" w:type="dxa"/>
            <w:tcBorders/>
            <w:vAlign w:val="bottom"/>
          </w:tcPr>
          <w:p>
            <w:pPr>
              <w:pStyle w:val="TableContents"/>
              <w:bidi w:val="0"/>
              <w:spacing w:before="0" w:after="283"/>
              <w:jc w:val="left"/>
              <w:rPr/>
            </w:pPr>
            <w:r>
              <w:rPr/>
              <w:t> </w:t>
            </w:r>
          </w:p>
        </w:tc>
        <w:tc>
          <w:tcPr>
            <w:tcW w:w="27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Ended </w:t>
              <w:br/>
              <w:t>September 30,</w:t>
            </w:r>
          </w:p>
        </w:tc>
      </w:tr>
      <w:tr>
        <w:trPr/>
        <w:tc>
          <w:tcPr>
            <w:tcW w:w="3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00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30" w:type="dxa"/>
            <w:gridSpan w:val="1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0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interest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EBITDA</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(10,723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(17,397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(1,077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adjustments: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transaction gain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(3,885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(9,073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Sources of Liquidity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2023 we had approximately $7.3 million in cash, and an accumulated deficit of approximately $29.2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historically funded our operations through the issuance of notes and the sale of preferred stock and common stock. Together with the new PBS BARDA Contract, executed in September 2023, for a total value of up to $149 million, our total potential support from BARDA is nearly $250 million if all future options are executed. The base phase of the PBS BARDA Contract, valued at $55 million, was exercised concurrently with the contract award in September 2023. To date, for our 2013 and 2019 BARDA contracts, we have committed funding of $101 million of which we have received $99 million. In April 2023, we received a $4.0 million grant under the MTEC Agreement. See “</w:t>
      </w:r>
      <w:r>
        <w:rPr>
          <w:rFonts w:ascii="Times New Roman PS Std;serif" w:hAnsi="Times New Roman PS Std;serif"/>
          <w:b w:val="false"/>
          <w:i/>
          <w:caps w:val="false"/>
          <w:smallCaps w:val="false"/>
          <w:sz w:val="20"/>
        </w:rPr>
        <w:t>Research and Development Revenue</w:t>
      </w:r>
      <w:r>
        <w:rPr>
          <w:rFonts w:ascii="Times New Roman PS Std;serif" w:hAnsi="Times New Roman PS Std;serif"/>
          <w:b w:val="false"/>
          <w:i w:val="false"/>
          <w:caps w:val="false"/>
          <w:smallCaps w:val="false"/>
          <w:sz w:val="20"/>
        </w:rPr>
        <w:t>” above. With the PBS BARDA Contract and the MTEC Agreement, the Company believes it will have sufficient working capital to fund operations for at least one year beyond the release date of the condensed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9, 2023, the Company has provided updated guidance of its anticipated revenues for the full year 2023 to approximate $17.4 million and 2024 revenues to approximate $28 million. The 2023 revised guidance reflected a significant reduction of the Company’s forecasted operating results from early 2023. The reduced revenues for 2023 reflected the Company’s completion of its validation study of its burn indication in early 2023 and reduced billings to BARDA prior to the award of the PBS BARDA Contract. In addition, 2023 revenue has also been negatively impacted by the Company’s revised workflow pursuant to the PBS BARDA Contract deliverables. As noted in the updated guidance, the Company expects increased revenues in 2024 from a full year of operations under the PBS BARDA Contract.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utilize its existing cash balance and the initial award from the PBS BARDA Contract for its near-term liquidity and operating needs. The Company believes that it has sufficient cash and revenue from its PBS BARDA Contract to support its operations until it is able to obtain equity or debt investments on terms acceptable to the Company to meet its expected operating cash-flow needs for its burn, DFU and other indication research and development. To the extent additional capital is necessary, there are no assurances that we will be able to raise additional capital on favorable terms or at all, and therefore we may not be able to execute our business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likelihood that the holders will exercise their Warrants, as applicable, and therefore the amount of cash proceeds that we would receive, is dependent upon the trading price of our Common Stock. As noted above, as the trading price of our Common Stock is less than the exercise price thereof, we believe the holders are unlikely to exercise their Warrants. The Warrants are exercisable on a cashless basis under certain circumstances specified in the Warrant Agreement (as defined herein). To the extent that any Warrants are exercised on a cashless basis, the aggregate amount of cash we would receive from such exercises will decrease. Only if the trading price of our Common Stock increases significantly, will the Company be able to potentially receive up to approximately $96.9 million from the exercise of the Warrants for cash. We expect to use any such proceeds for general corporate and working capital purposes, which would increase our liquidity. In connection with shareholder votes to approve Business Combination and related matters, shareholders of RCLF elected to redeem an aggregate of 178,231 shares of common stock, par value $0.0001 per share, of RCLF initially sold in the RCLF IPO. As a result, an aggregate of approximately $1.85 million was paid to such redeeming shareholders at or prior to the Closing out of the Trust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capital requirements will depend on many factors, including the revenue growth rate, the success of future product development and capital investment required, and the timing and extent of spending to support further sales and marketing and research and development efforts. In addition, we expect to incur additional costs as a result of operating as a U.S. public company. There can be no assurance that we will be successful in raising any additional capital. If additional financing is required from outside sources, we cannot be sure that any additional financing will be available to us on acceptable terms, if at all. If we are unable to raise additional capital when desired, our business, operating results, and financial condition could be adversely affected.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the nine months ended September 30, 2023 and 2022:</w:t>
      </w:r>
    </w:p>
    <w:tbl>
      <w:tblPr>
        <w:tblW w:w="7544" w:type="dxa"/>
        <w:jc w:val="left"/>
        <w:tblInd w:w="0" w:type="dxa"/>
        <w:tblLayout w:type="fixed"/>
        <w:tblCellMar>
          <w:top w:w="0" w:type="dxa"/>
          <w:left w:w="0" w:type="dxa"/>
          <w:bottom w:w="0" w:type="dxa"/>
          <w:right w:w="0" w:type="dxa"/>
        </w:tblCellMar>
      </w:tblPr>
      <w:tblGrid>
        <w:gridCol w:w="5011"/>
        <w:gridCol w:w="146"/>
        <w:gridCol w:w="226"/>
        <w:gridCol w:w="841"/>
        <w:gridCol w:w="181"/>
        <w:gridCol w:w="146"/>
        <w:gridCol w:w="226"/>
        <w:gridCol w:w="541"/>
        <w:gridCol w:w="226"/>
      </w:tblGrid>
      <w:tr>
        <w:trPr/>
        <w:tc>
          <w:tcPr>
            <w:tcW w:w="50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Ended </w:t>
              <w:br/>
              <w:t>September 30,</w:t>
            </w:r>
          </w:p>
        </w:tc>
      </w:tr>
      <w:tr>
        <w:trPr/>
        <w:tc>
          <w:tcPr>
            <w:tcW w:w="5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5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(10,865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increased by approximately $10.0 million for the nine months ended September 30, 2023, as compared to the nine months ended September 30, 2022 primarily driven by (a) increased spending on general and administrative expenses of approximately $3.5 million for our increased staff and approximately $2.8 million for our higher non-revenue generating research and development costs, (b) decreased gross profit of approximately $2.9 million from less research and development work performed pursuant to the BARDA Burn II contract as clinical trials under this contract were nearing completion, partially offset by cash receipts in excess of cash payments, and (c) cash paid for transaction costs for the Business Combination of $1.0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Provided by (Used in)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 increased approximately $4.7 million for the nine months ended September 30, 2023 compared to the nine months ended September 30, 2022. This was primarily attributable to the proceeds of $3.4 million from the Equity Raise and operating cash received upon closing of the Business Combination of $0.7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Current Indebtedness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2023, we entered into a financing arrangement for a portion of our insurance premium for approximately $0.6 million (the “Note”). The Note bears interest at 8.6% per annum and is payable in equal monthly payments of principal and interest, maturing in June 2024. As of September 30, 2023, we owed $0.6 million for the Note.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nine months ended September 30, 2023 and 2022, we did not have any transactions with related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periods presented, we did not have any off-balance sheet arrangements, as defined in Item 303(a)(4)(ii) of SEC Regulation S-K.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no material changes to the Company’s critical accounting policies and estimates discussed in Legacy Spectral’s Management’s Discussion and Analysis of Financial Condition and Results of Operations — Critical Accounting Policies for the years ended December 31, 2022 and 2021 included in the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2, Summary of Significant Accounting Policies, of the notes to our condensed consolidated financial statements included elsewhere in this Form 10-Q for recently adopted accounting standards and recently issued accounting standards as of the dates of the statement of financial position included in this Form 10-Q.</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Emerging Growth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market risks in the ordinary course of our business. These risks primarily include interest rate, foreign exchange, credit and inflation risks.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Rate Sensitivity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a large amount of our assets in cash. Our cash is held primarily in cash deposits. The fair value of our cash would not be significantly affected by either an increase or decrease in interest rates due mainly to the short-term nature of these instruments. Additionally, changes to interest rates will impact on the cost of any future borrowings. With respect to our current borrowings, the interest rate on the Note for insurance premiums is fixed. Changes in prevailing interest rates could have a material impact on our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 is denominated in U.S. dollars. Our expenses are generally denominated in the currencies in which our operations are located, which is primarily in the United States and UK, with an insignificant portion of expenses incurred in our wholly owned subsidiaries in the UK and denominated in British pound sterling.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subject us to concentrations of credit risk consist primarily of cash and accounts receivable. The vast majority of our cash is held in U.S. financial institutions which, at times, exceed federally insured limits. We have not recognized any losses from credit risks on such accounts. We believe we are not exposed to significant credit risk on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credit risk is related to our concentration of receivables and revenues. One customer (which is a U.S. government agency) represents the majority of our research and development revenue and accounts receivable.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Inflation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recent increase in inflation partially contributed to the increase in the cost of our research and development as well as operating costs. If the cost of our products, employee costs, or other costs continue to be subject to significant inflationary pressures, such inflationary pressure may have an adverse effect on our ability to maintain current levels of gross margin and selling, general and administrative expense. As a result, our inability to quickly respond to inflation could harm our cash flows and results of operations in the future.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10"/>
      <w:bookmarkEnd w:id="16"/>
      <w:r>
        <w:rPr>
          <w:rFonts w:ascii="Times New Roman PS Std;serif" w:hAnsi="Times New Roman PS Std;serif"/>
          <w:b/>
          <w:i w:val="false"/>
          <w:caps w:val="false"/>
          <w:smallCaps w:val="false"/>
          <w:sz w:val="20"/>
        </w:rPr>
        <w:t>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AI company focused on predictive medical diagnostics. We are devoting substantially all of our efforts towards research and development of our DeepView System, an internally developed AI driven MSI device which has FDA BDD status for burn indication since 2018. Our DeepView System uses proprietary AI algorithms to distinguish between fully damaged, partially damaged and healthy human tissue characters invisible to the naked eye, at the initial time point of wound presentation. The DeepView System delivers a binary prediction on the wounds capacity to heal or not-heal by a specified time point in the future. Our DeepView System’s output is specifically engineered to assist the physician in making a more accurate, timely and informed decision regarding the treatment of the patient’s wounds. Our focus from 2013 through 2021 was on the burn indication. In 2022, we expanded our focus to include the DFU indication.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nine months ended September 30, 2023 and the year ended December 31, 2022, on a consolidated basis (as if consolidated for the nine months ended September 30, 2023 and the year ended December 31, 2022), we incurred a net loss of $21.0 million and an income of $8.1 million, respectively, and on a consolidated basis our cash balance at September 30, 2023 was $7.3 million. We had an accumulated deficit of $29.2 million as of September 30, 2023. Our losses have resulted primarily from costs incurred in connection with our design, manufacturing and development activities, research and development activities, building our commercial infrastructure, legal, and general and administrative expenses associated with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the Company has $7.3 million of cash available as of September 30, 2023. On September 27, 2023, the Company executed a new contract with BARDA, providing the Company with additional funding of up to $149.9 million, including an initial award of approximately $55.0 million to support the clinical validation and FDA De Novo application of our DeepView System, The Company will utilize its existing cash balance and the initial award from BARDA for its near-term liquidity and operating needs. The Company believes that it has sufficient cash and revenue from its BARDA contract to support its operations until it is able to obtain equity or debt investments on terms acceptable to the Company to meet its expected operating cash-flow needs for its burn, DFU and other indication research and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generate revenue and achieve profitability will depend upon our ability, alone or with others, to complete the development of our DeepView System, including receipt of the necessary regulatory clearances, approvals, or classifications and thereafter to successfully commercialize our DeepView System. We may be unable to achieve these goals. We may also encounter unforeseen expenses, difficulties, complications, delays and other known and unknown factors and risks frequently experienced by medical device companies in rapidly evolving fields. In addition, the Company’s ability to develop its DeepView System for multiple indications requires research and development costs that may exceed the Company’s current cash balance. The Company may need to seek additional equity or debt investments to meet its projected operating costs for the timely development of the DeepView System. To the extent additional capital is necessary, there are no assurances that we will be able to raise additional capital on favorable terms or at all, and therefore we may not be able to execute our business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of the shares pursuant to the prospectus, dated December 21, 2023 and filed with the SEC on January 2, 2024 and this prospectus may have a negative impact on the current stock price of the Company’s Common Stock. Approximately 16.6% of our issued and outstanding Common Stock as of January 2, 2024 is being registered for resale pursuant to the registration statement of which this prospectus forms a part. The sale of all or a portion of the securities being offered in this prospectus could result in a significant decline in the public trading price of our securities and in the overall percentage ownership in the Company of existing stockholders. Sales of a substantial number of our shares of Common Stock and/or Warrants in the public market by B. Riley Principal Capital II and/or by our other existing stockholders, or the perception that those sales might occur, could depress the market price of our shares of Common Stock and/or Warrants and could impair our ability to raise capital through the sale of additional equity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November 9, 2023, the Company provided updated guidance of its anticipated revenues for the full year 2023 to approximate $17.4 million and 2024 revenues to approximate $28 million. The 2023 revised guidance reflected a significant reduction of the Company’s forecasted operating results from early 2023. The reduced revenues for 2023 reflected the Company’s completion of its validation study of its burn indication in early 2023 and reduced billings to BARDA prior to the award of the PBS BARDA Contract. In addition, 2023 revenue has also been negatively impacted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Company’s revised workflow pursuant to the PBS BARDA Contract deliverables. As noted in the updated guidance, the Company expects increased revenues in 2024 from a full year of operations under the PBS BARDA Contract. In the case of DFUs, a non-healing assessment would provide the physician with the appropriate justifications to use an advanced wound care therapy on “Day One” in seconds, as opposed to the current approach that involves waiting up to 30 days to see how the wound develops before making such clinical assessment.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burn wounds, a non-healing assessment could aid the clinician in making an immediate and objective determination for appropriate candidates for surgery as well as determining what specific areas of the burn wound will require excision and skin grafting. Conversely, the system would also provide output showing that an incurred wound will heal on its own, which would potentially avoid unnecessary surgeries. Our DeepView GEN3 System’s current accuracy for assessment of burn wound health potential is 92% for adults and 88% for pediatrics, compared with current physician accuracy of 50% to 75%, respectively, at best, according to industry literature. In addition, in head-to-head clinical trial evaluations, when compared to the “ground truth”, our DeepView System provided higher accuracy of predictive burn wound analysis than the accuracy of burn specialists, reporting at 70 – 80% accuracy, and non-burn specialist physicians, reporting at 50 – 60% accuracy of how the wound would develop.2 We have conducted three large clinical studies with multiple sites across the United States, enrolling 413 patients, including 329 adult burn patients and 84 pediatric patients. Through these studies, we were able to identify the burn assessment accuracy in both surgery and non-surgical treatment.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MSI imaging component that makes up part of our DeepView System has received United Kingdom Conformity Assessed (UKCA) marking for use in the United Kingdom and has Class I medical device classification with the United States Food and Drug Administration (FDA), while we anticipate that the DeepView System, comprised of the imaging component integrated with the predictive AI-Burn® software component, may achieve Class II designation in the US via a De Novo application. Subject to our receipt of additional necessary market authorization, our business will have two revenue streams, a SaaS model component predicated on utilizing the regulatory method, SaMD (software as a medical device), and the imaging device component. The SaaS component will feature a software licensing fee that includes maintenance, image hosting, and access to algorithm updates. The proprietary imaging device acquires the images for the AI algorithms and is a universal platform to house multiple clinical applications including burn and DFU. Pricing for these components will be evaluated and strategically set per country and site-of-service for heightened customer adoption.</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MSI imaging technology, which comprises one part of the DeepView System consists of patented proprietary multi-spectral optics and sensors, capturing injured tissue images ranging from near UV lights, through the human visible wavelengths, all the way into the near infrared range (NIR). The broad wavelength ranges go beyond what the human eyes can see and capture what medical professionals cannot observe with their naked eyes. This wide range of wavelength images contains wound tissue physiology and captures the viability of various biomarkers within the skin and from the injured tissue spectral signatures. The imaging technology extracts appropriate clinical data, processes the image data to provide the injured tissue spectral signatures to the AI model and algorithms. The AI algorithm classifies various severities of the injuries as (i) full damaged (non-healing), (ii) partially damaged or (iii) healthy tissue (healing), and displays a comparison of the original image next to an image with a color overlay of the non-healing portions of the wound. The image acquisition takes 0.2 seconds, and all image processing and AI model classification takes approximately 20 to 25 seconds. Our DeepView System’s proprietary optics can extract millions of pixels of data or AI model features from each group of raw images. This information is then used to build and continually improve the AI model, which is trained and tested against a proprietary and clinically validated database of approximately 263 billion pixels of DFU and burn data as of December 31, 2022. The DeepView-AI Burns® software is used with the DeepView SnapShot® imaging device, and it is intended to be used as an adjunctive tool to aid health care providers in the assessment of burn wound healing potential by differentiating non-healing from healing burned tissue within an image.</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Henk Hoeksema, Karlien Van de Sijpe, Thiery Tondu, Moustapha Hamdi, Koenraad Van Landuyt, Phillip Blondeel, Stan Monstrey, Accuracy of early burn depth assessment by laser Doppler imaging on different days post burn, Burns, Volume 35, Issue 1, 2009, Pages 36 – 45, ISSN 0305-4179. The above article was exploring laser doppler imaging as an objective technique to determine the depth of a burn wound and states “as has been demonstrated in several studies, a purely clinical, bedside evaluation of the burn depth in dermal burns is accurate only in about 50 – 75% of the cases.”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Rise of the (Learning) Machines: An Interim Analysis Assessing Burn Wound Healing; Jeffrey E. Carter, MD, FACS, et.al., </w:t>
      </w:r>
      <w:r>
        <w:rPr>
          <w:rFonts w:ascii="Times New Roman PS Std;serif" w:hAnsi="Times New Roman PS Std;serif"/>
          <w:b w:val="false"/>
          <w:i/>
          <w:caps w:val="false"/>
          <w:smallCaps w:val="false"/>
          <w:sz w:val="18"/>
        </w:rPr>
        <w:t>https://clinicaltrials.gov/ct2/show/NCT05023135</w:t>
      </w:r>
      <w:r>
        <w:rPr>
          <w:rFonts w:ascii="Times New Roman PS Std;serif" w:hAnsi="Times New Roman PS Std;serif"/>
          <w:b w:val="false"/>
          <w:i w:val="false"/>
          <w:caps w:val="false"/>
          <w:smallCaps w:val="false"/>
          <w:sz w:val="18"/>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at Figure 1 is an example of the DeepView System technological process.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057650" cy="22739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57650" cy="227393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Figure 1 — DeepView Imaging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our knowledge, there are no digital wound healing assessment in predictive medical diagnostic products that provide clinicians with an objective and immediate assessment of a wound’s future healing potential and that benefit from the application of AI. Currently, healthcare professionals rely on their experience and subjective assessments to determine if wounds, such as burn injuries and DFUs, will heal under routine care after a period of time, typically several weeks, or are in need of advanced wound care products and procedures including surgical interventions. Our DeepView System allows health care professionals to make a ”Day One” assessment of a wound’s healing potential over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received substantial support from the U.S. government for our DeepView System’s application for burn wounds, including from agencies such as BARDA, which is part of the HHS Office of the Assistant Secretary for Preparedness and Response (“ASPR”) in the United States, established to aid in securing the United States from chemical, biological, radiological, and nuclear threats, as well as from pandemic influenza and emerging infectious diseases. We have also received funding from the National Science Foundation (“NSF”), National Institute of Health (“NIH”) and the DHA an agency within the Department of Defense (“DoD”). Since 2013, we have received approximately $280.0 million in funding from government contracts, primarily from BARDA, which accounts for $272.9 million. This has allowed us to develop our technology and further our clinical trials. On September 27, 2023, the Company executed a new contract with BARDA, providing the Company with additional funding of up to $149.9 million, including an initial award of approximately $55.0 million to support the clinical validation and FDA De Novo application of our DeepView System, in place of the prior contract Option 2 award which was approximately $22.0 million. This will include the distribution of up to 30 DeepView Systems in various emergency rooms and burn centers to support the clinical validation study and to transition the use of our DeepView System to being used routinely upon the De Novo application being granted by the FDA. The contract also includes options, similar to our prior BARDA contracts, with an additional total value of approximately $95.0 million which can be exercised for additional product development, procurement and the expanded deployment of DeepView Systems at emergency rooms, trauma and burn centers. These deployments will enable the Company to conduct health economic and outcome research to support the broader clinical adoption of the DeepView System. The Company is also completing work on the Option 1B of its prior contract award relating to our Burn Training study, which was extended through December 31, 2023 upon which the Company will receive approximately $2.0 million of additional funding. This grant funding is non-dilutive to our stockholders, and we believe it validates the important nature of its mission and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our receipt of the necessary regulatory market authorizations, we intend to initially sell the DeepView System throughout the United States for its burn and its DFU indication and in the UK for its DFU indication. The sales channel for these two indications are different. We expect that our burn indication will be supported by existing and future governmental contracts, primarily from agencies such as BARDA and the DHA, while the DFU indication will be an add-on to the burn indication sales channel and will have its own separate sales channel to penetrate the podiatric and wound care clinics. In the United States, there are approximately 100 burn centers, 700 trauma centers and 5,400 federal and community hospitals with Emergency Rooms where the burn patients are most likely to visit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injuries. The DeepView System provides a quick triage tool to the emergency rooms, so it can be decided quickly whether patients need routine care or should be transferred to trauma centers or burn centers for advanced care, and for quick and accurate surgical planning. In the burn centers, the DeepView System provides an advanced guidance on the non-healing areas of a burns, Therefore, we plan to target our sales efforts to these facilities through our highly-trained technical sales support staff given the nature of DeepView as a truly disruptive AI driven predictive assistance tool. For the DeepView System’s burn application and following receipt of any future contract awards, we plan to partner with the U.S. governmental agency sponsors to implement the distribution of our DeepView System throughout the United States into key regions to support the United Stats’ mass casualty countermeasure directives, with the goal of making our country better prepared for mass casualty events and saving scarce healthcare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our receipt of the necessary market authorizations, we plan to begin our commercial sales efforts of the DeepView System’s DFU application in the UK through key clinical sites and related networks. We expect to engage contract sales organizations to distribute our DeepView System throughout the UK as well as France, Germany, Italy and Spain (“EU4”). Preliminary discussions with distributors occurred during 2023 to determine which organizations possess the key relationships and insights for selling diagnostic systems within their respective countries. We intend to focus our commercial strategy initially in the UK, which we are targeting for mid-2024, with the EU4 to follow in 2024, subject to CE mark approval for our technologies. Similar to the United States, the primary customer base for the DFU application in Europe will be outpatient wound centers and secondary sites of care that have a high-volume of DFU patients. We also expect to engage a market access consulting firm to help us navigate the various regional tender and contracting entities within each country. In the United States, subject to our receipt of the necessary regulatory market authorization, we anticipate including the DFU diagnosis indication in the DeepView Systems that are distributed through the burn indication sales efforts in hospitals’ emergency rooms and trauma centers, given that we can run multiple indications on the same imaging devices. In addition, podiatry practices are typically the first line of specialty care for DFUs in the United States. Vascular and cardiology companies and outpatient wound centers also treat wounds. We will need to grow our distribution network to support the expanded sales efforts for the DFU indication to these facilities by initially focusing on management companies that have multiple podiatric and/or wound care centers under their management. In this way, we believe we can build a mature sales model, pricing structure, and customer instructions, to enable us to further grow our distribution networks with third-parties and other sales channel 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subject to our receipt of the necessary regulatory market authorizations, our business is expected to have two revenue streams, a SaaS model component predicated on utilizing the regulatory method, SaMD (software as a medical device), and an imaging device component. The SaaS component will feature a software licensing fee that includes maintenance, image hosting, and access to algorithm updates. The capital sale component will be competitively priced for acceptance into independent practices and clinics.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obtained 510(k) clearance for the first two generations of our DeepView System. DeepView GEN 1, which employed photoplethysmography (“PPG”), an optical technique used to detect volumetric changes in blood in peripheral circulation, and received 510(k) FDA clearance in 2013, and DeepView GEN 2, which employed PPG and MSI, a technique which captures image data within specific wavelength ranges across the electromagnetic spectrum, and received 510(k) FDA clearance in 2017.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DeepView GEN 1 device used PPG for analysis of blood flow in the microcirculation of a patient’s skin. The output from this device to the clinician was an image representing the strength of pulsatile blood flow within the skin computed using the PPG waveform by measuring the interaction of near-IR light with dynamic changes in vascularized tissues. These outputs were then used to evaluate tissue perfusion in wounds and their surrounding skin.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DeepView GEN2 device, which received FDA clearance in 2017, was also indicated for analysis of blood flow in the microcirculation using PPG waveforms and incorporated a MSI sensor.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Despite receiving the necessary clearances, we decided not to fully commercialize these two previous iterations. Instead, we have been focusing on utilizing the BARDA contracts and DHA contracts to further integrate MSI light spectral analysis with our predictive AI algorithms and improved optics throughout 2023 in order to further enhance the utility of our DeepView GEN 3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DeepView GEN 3 System, comprised of the MSI imaging used in conjunction with AI analytic software applications, is being studied for its ability to accurately and rapidly assess, by quantitative prediction, the potential for burn injuries and DFU wounds to heal by delineating the viable to non-viable tissue at the time of initial presentation.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has generated a 92% and 86% accuracy rating, respectively, in our clinical studies. The DeepView GEN 3 System collects the tissue reflectance spectrum of wavelengths of near UV to visible to near infrared (400 nm–1100 nm) wavelengths. We combine this injured tissue spectral signature with in-house developed AI upon a proprietary clinical database, to create the DeepView System is aimed at improving wound assessment as an aid to therapeutic management of wound cares.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2018, the FDA designated our DeepView System with BDD status for its burn indication. The FDA’s designation as a Breakthrough Device allows for prioritized reviews and a dedicated line of communication with reviewing members of the FDA. In the first quarter of 2021, the Health Products Regulatory Authority of Ireland (HPRA) provided a medical device classification recommendation of IIa for our DeepView System. We have enrolled subjects in our DFU studies in clinical and academic sites across the United States and the EU. In 2022, we completed our first DFU clinical training study with 100 adult subjects in the United States at five well-known medical facilities. In the third quarter of 2022, we extended the AI training study with an additional 100 adult subjects. We completed this study in January 2023, providing us with a much-improved DFU AI prediction performance at 86% (from the previous 81% and 83% respectively). In April 2023, we commenced our validation study with an additional 100 adult subjects at 10 well-known medical facilities. This study is expected to be completed in early 2024. We have also signed with international partners such as the Royal College of Surgeons in Ireland, a well-respected institution in the field and have partnered with leading wound care physicians. We believe that we will be able to leverage these relationships to access other institutions and individuals, which should increase awareness and early adoption of our technology in the United States, the UK and the EU. U.S. adoption will also benefit from the potential future BARDA funding of technology placement for burns applications. Our focus will be on the continued development of the DFU AI model as we progress through the validation study.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complete the validation studies for the DFU regulatory application in the United States in early 2024, while targeting for the FDA’s grant of our De Novo petition in early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above, a fundamental difference between the 510(k) clearance and De Novo classification pathways is that the 510(k) clearance pathway is available to devices that are substantially equivalent to predicate devices, which includes a device that has the same intended use, has been previously cleared through the 510(k) process, a device that was legally marketed prior to May 28, 1976 (pre-amendments device), a device that was originally on the U.S. market pursuant to an approved PMA and later down-classified, or a 510(k)-exempt device. On the other hand, the De Novo classification pathway is available for novel devices of low to moderate risk, for which there are no legally marketed devices on which to base the substantial equivalence determination for the same intended use, or after the applicant receives a not-substantially-equivalent decision from FDA in response to a 510(k) application.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speaking, the types of support that are required for both pathways are similar in that the pathways are both intended for devices of low to moderate risks. For example, both require a description of the device that is the subject of the application, and a statement of the proposed intended use, including a general description of the diseases or conditions that the device will diagnose, treat, prevent, cure, or mitigate, and a description, where appropriate, of the patient population for which the device is intended. Depending on the exact device, the pathways may require submission of conclusions that are drawn from non-clinical and clinical tests to demonstrate that the device is safe and effective although generally speaking, it is more likely that a De Novo classification request will need to be supported by data from a clinical trial than a 510(k) clearance application. At other times, references to certain industry or technological standards or testing, or voluntary consensus standards may be included within the applications. With regard to the timing of the review, the FDCA provides 90 days for FDA to review a 510(k) clearance application substantively, although as a practical matter, the agency’s review may take significantly longer if FDA needs additional information or has questions about the submitted information. Similarly, the law provides 150 days for FDA’s review of a De Novo classification request but the review may take significantly longer if the agency has questions or needs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There are also certain differences between the information that needs to be submitted for each regulatory pathway. For example, the application for the 510(k) clearance must include identification of the predicate device and a comparison of the subject device to the predicate device. If the subject device has different technological characteristics from the predicate device, an explanation should be included regarding their impact on safety and effectiveness. These discussions are not included in a De Novo classification request, considering that a device that is subject to the De Novo classification pathway does not have a predicate to which the applicant compares it. On the other hand, a De Novo classification request must include information such as (a) discussion of practices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procedures that may be an alternative to the subject device, where a description of existing alternative practices or procedures is provided, (b) if not subject to a previous 510(k) submission, information showing the searches used to establish that no predicate exists; and a list of classification regulations, 510(k) clearances, premarket approvals, and other information regarding devices that are potentially similar to the subject device, and (c) a summary of risks and mitigations for the subject device, among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our receipt of the necessary regulatory market authorization, we would expect to leverage results from the U.S. study for a simultaneous conformity assessment procedure in the EU to obtain the CE marking of conformity (“CE Mark”). Subject to our receipt of regulatory authorization to affix the CE Mark, we would expect to commence post-market studies in the UK and Germany. Subject to our receipt of the necessary regulatory market authorization, we would expect to initiate commercialization in the United States during 2025. We are targeting initial sales in Europe in mid-2024, subject to our receipt of the necessary regulatory market authorization. We intend to submit for FDA review of the burn application in 2025 in accordance with the projected timeline for our BARDA contract.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Burn Indication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successful completion of our expanded proof of concept (“ePOC”) multi-center clinical study in the first quarter of 2021, we received two additional grants from BARDA, $20.6 million in March 2021 and $18.8 million in September 2021, to bolster our existing clinical database to train the AI algorithm, and to improve our DeepView technology in early burn wound healing assessment. The $20.6 million contract awarded under Option 1A was exercised by BARDA in March 2021 to execute the first stage of the clinical training study to train the DeepView AI algorithm at five sites. The contract option funding of $18.8 million under Option 1B of the BARDA contract was granted six months ahead of schedule, which enables us to accelerate the initiation of the second stage of our clinical training study with confidence. In August 2022, we received additional contract option funding of $8.2 million under a modification of Option 1B of the BARDA contract to set a qualified production line and enable the IT integration of DeepView into hospital infrastructure. In 2023, provided we reach certain milestones and decision gates as noted above, we expect to receive an additional $21.9 million pursuant to BARDA’s execution of Option 2 of the existing contract to further our clinical studies for validation and FDA submission needs. These awards expand the current clinical training study for burn wounds by adding clinical sites, further increase DeepView’s interoperability with health systems’ electronic health records (“EHRs”) and boosts the Company’s manufacturing capacity readiness. See “Information about Spectral — The BARDA Contract”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Option 1B funding has expanded our clinical trial studies through 12 sites and up to 250 clinical subjects, including 190 adult and 60 pediatric burn subjects, resulting in one of the largest prospective multi-center burn studies ever conducted. The upcoming Option 2 funding is earmarked for our validation study prior to submission to the FDA De Novo application of our DeepView GEN 3 System. We began conducting our validation study in the fourth quarter of 2023, where we plan to enroll an additional 250 adult and pediatric subjects at up to 20 clinical sites.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unpredictability of severe burn injuries is a complex critical care problem. As training in burn injuries is no longer required during medical training residency, the correct determination of burn depths is extremely low. In published literature, non-burn care providers are accurate 50% of the time, as compared to burn care physicians’ diagnostic accuracy of between 50% – 75% of the time, in predicting early healing potential in burn injuries using visual clinical judgment. Due to the lack of lab tests and diagnostic tools, some Emergency Department (“ED”) physicians often adopt the “wait and see” approach for wound progression for 3 – 7 days, thereby occupying valuable bed space, additional costs, longer hospital stays and over-excision of viable skin. Some physicians prefer to directly transfer the patient to a specialty burn center. This practice is confirmed by the published Journal of Burn Care Research, which found that 41% of patients with Total Body Surface Area less than 10% were unnecessarily transferred to burn centers for specialized treatment and discharged within 24 hours.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adult participants, the DeepView GEN3 System has shown 92% accuracy, with cross-validation from the AI model for identification of non-healing burn regions. This represents a significant improvement above the diagnostic accuracy of burn physicians assessing the same adult burn patients, and above 50% to 75% accuracy, according to industry literature. In addition, in head-to-head clinical trial evaluations, our DeepView System provided higher accuracy on day one to “ground truth” determined on day 21 on burn wound analysis than the accuracy of burn specialists, reporting at 70 – 80% accuracy, and non-burn specialist physicians, reporting at 50 – 60% accuracy. We have conducted three large clinical studies with multiple sites across the United States, enrolling 413 patients, including 329 adult burn patients and 84 pediatric patients. Through these studies we were able to determine burn assessment accuracy in both healing and non-healing wounds.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pediatric patients, the AI performance of the DeepView System showed 88% accuracy, underlining how the AI technology is responding with significant reliability to variability in the study population. Based on these strong results, we have bolstered our infrastructure to facilitate the expansion of the study to additional sites and have begun enrollment in a larger study in order to complete the AI algorithm’s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our proprietary and clinically validated database for burns is comprised of approximately 263 billion pixels of DFU and burn data. This database presents both a significant barrier to entry to would-be competitors in wound care healing assessment, and a potential additional commercial opportunity for us to develop further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alignment with BARDA’s emergency preparedness mission, the $8.2 million contract expansion awarded in August 2022 provides funding to expand the current Burn AI dataset to include Emergency Department (“ED”) patient enrollment. The addition of EDs will facilitate our establishing a clinical benchmark for DeepView’s ED burn healing assessment, which we anticipate will have a major impact in the delivery of care for burns in that setting. In February 2022, the Company and the FDA conducted a pre-submission meeting for alignment on our ED strategy. The FDA’s feedback confirmed our ED approach and stated that they see utility of the DeepView System in Emergency Rooms across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 2023, BARDA also announced its Sources Sought Notice (“SSN”) for Burn Wound Imaging Technologies. This SSN is the first step in BARDA’s procurement process. The SSN stated parameters for the program “seeking burn wound imaging technologies that could enable physicians to efficiently triage burn patients and make more informed treatment decisions. The technologies sought are expected to function in routine healthcare settings such as emergency departments as well as in specialized burn centers and trauma units. Imaging technologies that are well-integrated in routine healthcare settings inherently build national preparedness and the capability to apply these tools during mass casualties involving burn injuries.” We meet all of the requirements set forth in the SSN notification and filed our application by the deadline of February 28, 2023.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DFU Indication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2021, we completed enrollment for our Institutional Review Board (“IRB”) approved multi-center training study to support the development of our DFU application for the DeepView System. The study enrolled a total of 100 adult subjects and was executed successfully and on schedule across five clinical sites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DFU images and clinical data collected are currently being incorporated into the database for the development of DeepView’s DFU algorithm. The data also informed key datapoints that are captured in the DFU validation study, and the incorporation of additional newly developed features. Data collected throughout the study will support our marketing applications for the FDA and CE mark approval for DeepView’s DFU indication — one of the necessary milestones required to commercialize DeepView’s DFU application. There can be no assurance that the Company will be able to obtain FDA marketing authorization or CE mark approval of our DeepView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made substantial progress in our U.S. DFU Clinical Validation Study (the “US DFU Clinical Study”) in 2023. The endpoint that we are pursuing in the clinical study is to predict on “Day One” whether the DFU wound will reduce in size by 50% by week four. In 2022, with additional analyses our DeepView System showed improvement of the AI diagnostic accuracy by five percentage points to 86%.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data collected from the US DFU Clinical Study will be used to augment our existing proprietary and clinically validated database of DFU data and healthcare matrix information; and to validate the DeepView DFU AI algorithm as we prepare for U.S. regulatory submission in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first half of 2023, we have continued to enroll subjects in the US DFU Clinical Study to finalize our admission goal. Following effective cost management mainly related to the US DFU Clinical Study, we increased investment in the DFU indication in 2023 to drive our commercialization strategy. In preparation of submitting for regulatory marketing application, we expect to submit a pre-submission meeting request with the FDA in Q1 2024 to ensure alignment for our future final regulatory submission. We intend to submit for U.K. Conformity Assessment (“UKCA”) regulatory evaluations in mid-2024. We are currently targeting to receive the required UKCA certificates early in 2024, and to receive FDA marketing authorization in 2025, although these authorizations cannot be guaranteed, and may take longer than expected.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2023, we also initiated a clinical study in the EU with the Royal College of Surgeons in Ireland conducted at Connolly Hospital in Dublin, Ireland. The EU clinical study will collect data from DFU patients monitored for up to 12 weeks. The intention of the clinical study is to further develop the DeepView AI algorithm to support our regulatory submissions for UKCA, FDA, and EU CE Mark. The imaging system that makes up our DeepView System recently received United Kingdom Conformity Assessed (UKCA) marking for use in the United Kingdom and has Class I medical device classification with the United States Food and Drug Administration (FDA), while we anticipate that the DeepView System as a whole, including the AI component, may achieve Class II classification in the US via a De Novo application.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DeepView Programs in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Funding from the U.S. government funding has also allowed us to develop additional “Horizon” indication uses of our DeepView System, including DeepView Snapshot M, DeepView AI 3-D wound measurement technology, and other indications. We believe that our DeepView System’s use in emergency rooms, trauma and burn centers and other would care facilities should be expanded to provide greater utility of the DeepView System in such settings.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DeepView SnapShot 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DeepView System, our primary additional technology is the DeepView SnapShot M, a fully handheld, portable, wireless diagnostic tool based on the DeepView System’s AI platform. The DeepView SnapShot M provides a potential enhanced and expanded use for the U.S. government and emergency care, first responders and potentially home health care professionals. On June 23, 2021, we were awarded a two-year, $1.1 million, Sequential Phase II STTR contract by the DHA within the U.S. Department of Defense. This funding enables us to research and develop the DeepView SnapShot M product primarily for military and combat settings. We were awarded a $4.0 million grant from the Medical Technology Enterprise Consortium (“MTEC”), a 501I(3) biomedical technology consortium working in partnership with the Department of Defense, in April 2023, to develop our DeepView SnapShot M device in a Phase III feasibility and commercialization study. This grant, along with prior awards from DHA, based on our development of this device. The funding will be used to support military battlefield burn evaluation using DeepView SnapShot 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3-D Wound Measurement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currently developing 3-D software-based wound measurement technology for our DeepView System. This technology will produce rapid, accurate and easy-to-use wound size measurement images to produce an accurate 3-D tissue representation from a single image snapshot enabling distance, area and volume measurements with sub-millimetric accuracy without reference to any attendant markers or manually placed stickers or multiple images. We believe this is a significant improvement over current wound size measurement technologies which are limited in their ability to measure all three wound dimensions (distance, area and volume) or are otherwise cumbersome, requiring reference markers/stickers or multiple images to determine would size measurements. Our 3D wound measurement technology calculates the total body surface area (“TBSA”) of a wound. This technology will be integrated into our DeepView System and applies the “rule of nines”; a method that divides the body’s surface area into percentages to calculate the size of a burn or wound. For example, the front and back of the head and neck equal 9% of the body’s surface area and the front and back of each arm and hand equal 9% of the body’s surface area. This technology enhancement will not only generate the TBSA measurement, but will also indicate the “healthy” versus “unhealthy” tissue for advanced treatment applications to be applied to the burn or wound area. This is a critical step in assuring that these alternative medical solutions will be successful in-patient applications. The 3-D wound size measurement tool has completed the proof-of-concept phase. We are currently developing this technology in cooperation with BARDA.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Horizon Indication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envision additional “Horizon” indication opportunities for our DeepView System across the spectrum of the wound care market, including venous leg ulcer, critical limb ischemia, amputation, cosmetics, and other digitally guided diagnostic opportunities, which are sometimes referred to as “Horizon indications.” We envision these or other indications being utilized on our current cart-based DeepView System in emergency rooms and other wound/trauma centers as software to be utilized with the existing machines.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 regulatory perspective, we believe that these follow-on applications would all follow a 510(k) clearance process although in some cases, we may need to follow the de novo classification or premarket approval pathway if we are unable to identify a predicate, or if the new indication for use is classified as a Class III significant risk device. There can be no assurance, however, that we will be able to achieve any regulatory clearance for any future indications or that we will be able to obtain any such clearance on our projected timelines.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Focus and Milestones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focus may be categorized in two parts: (1) we will continue to fulfill our contractual obligations and meet milestones under our BARDA Burn II contract (described in further detail below); and (2) we will pursue the commercialization of the DFU application in the UK, United States and EU4. Our near-term goals related to the BARDA Burn II contract are to deliver on the current phase of the contract (Phase 1a), and to complete the remaining phases of the BARDA Burn II contract. Completion of these contractual phases support our long-term goal of entering into a federal procurement contract with BARDA.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submit a De Novo application to the FDA for market authorization of the burn application in 2025 in accordance with the projected timeline for the BARDA contract. We have scheduled a Quality Management System (“QMS”) certification audit in compliance with ISO 13485:2016 for Medical Devices. The certification audit is expected to occur in the first quarter of 2024. In parallel, we are in the process of scheduling the DeepView System Technical Documentation audit necessary to obtain the CE Mark and UKCA certificates to allow market access in the EU and UK, respectively. On July 14, 2023, Spectral completed its UKCA Mark registration for the DeepView Imaging System. Figure 2 below provides a summary of our key anticipated regulatory submissions. There can be no assurance that we will be able to obtain market authorization in the US, UK or EU of our DeepView GEN 3 System with AI on our projected timeline, or at all.</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619500" cy="39198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19500" cy="391985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Figure 2 — Summary of key regulatory submissions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Strategic Partnerships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developed strategic partnerships with multiple clinical and academic partners. In the United States, we entered into clinical trial agreements with leading research hospitals across 13 sites that enrolled subjects in our Burn AI Training Study. The agreements are substantially similar by study and include a detailed listing of the clinical trial services for which we will pay, how much will be paid for each service, a start-up fee (if any), Investigational Review Board fees, monitoring fees, close-out fees, the contractual term, and other provisions. The clinical trial services provided by each site generally include the screening of prospective patients and, for those patients to be enrolled in the study, imaging using our device according to the trial protocol, truthing sessions, and subject monitoring. Further, each agreement requires us to indemnify each respective clinical site for any losses, costs, expenses, or damages finally awarded by court order or finally paid in settlement or judgment incurred as a result of third party claims, suits, demands, actions or proceedings, which arise out of: (i) the site’s performance of its obligations under the agreement in accordance with the protocol; (ii) our use of the study results; (iii) the design or manufacture of the device; (iv) our negligent acts or omissions or intentional misconduct; or (v) our violation of any applicable law, rule, or regulation. We maintain insurance in conjunction with this indemnification. The agreements </w:t>
      </w:r>
      <w:r>
        <w:rPr>
          <w:rFonts w:ascii="Times New Roman PS Std;serif" w:hAnsi="Times New Roman PS Std;serif"/>
          <w:b w:val="false"/>
          <w:i/>
          <w:caps w:val="false"/>
          <w:smallCaps w:val="false"/>
          <w:sz w:val="20"/>
        </w:rPr>
        <w:t>may</w:t>
      </w:r>
      <w:r>
        <w:rPr>
          <w:rFonts w:ascii="Times New Roman PS Std;serif" w:hAnsi="Times New Roman PS Std;serif"/>
          <w:b w:val="false"/>
          <w:i w:val="false"/>
          <w:caps w:val="false"/>
          <w:smallCaps w:val="false"/>
          <w:sz w:val="20"/>
        </w:rPr>
        <w:t xml:space="preserve"> be terminated upon </w:t>
      </w:r>
      <w:r>
        <w:rPr>
          <w:rFonts w:ascii="Times New Roman PS Std;serif" w:hAnsi="Times New Roman PS Std;serif"/>
          <w:b w:val="false"/>
          <w:i/>
          <w:caps w:val="false"/>
          <w:smallCaps w:val="false"/>
          <w:sz w:val="20"/>
        </w:rPr>
        <w:t>30</w:t>
      </w:r>
      <w:r>
        <w:rPr>
          <w:rFonts w:ascii="Times New Roman PS Std;serif" w:hAnsi="Times New Roman PS Std;serif"/>
          <w:b w:val="false"/>
          <w:i w:val="false"/>
          <w:caps w:val="false"/>
          <w:smallCaps w:val="false"/>
          <w:sz w:val="20"/>
        </w:rPr>
        <w:t> days’ written notice, subject to conditions of paying all liabilities incurred through the date of termination. We will be adding to these sites as we begin our Validation Study.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EU and UK, we have engaged in a clinical partnership with the Royal College of Surgeons Ireland, as well as key opinion leaders to provide us greater knowledge in the wound care sector. Our partnerships with these institutions provide us the opportunity to collaborate with leading wound care providers to develop effective early stage wound assessment technology. These arrangements support the ongoing clinical validation studies we utilize in developing our algorithmic model through patient enrollment.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continually look to expand our clinical support partnerships to provide a diverse population of subjects with which to complete our clinical studies. In addition, we have developed key development and manufacturing relationships for the production and delivery of our DeepView System. Below at Figure 3 is a summary of our current key clinical, developmental and manufacturing relationships.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457825" cy="2941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57825" cy="2941320"/>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Figure 3 — Summary of key relationships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Diabetic Foot Ulcers (DFU)</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Diabetes (type 1 and type 2) affects over 34 million people in the United States alone and more than 460 million people worldwide. A further 88 million adults are affected by pre-diabetes in the United States. Twenty percent of the 30.2 million American adults with diabetes will develop a DFU in their lifetime. DFU is a severe chronic diabetic complication that consists of lesions in the deep tissues associated with neurological disorders and peripheral vascular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disease in the lower limbs. It is the most frequently recognized, complex and costly symptom of diabetes and can lead to limb amputation if left undiagnosed, misdiagnosed or untreated. DFU-related mortality is as high as 5% during the first year and 42% within five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a large and growing number of diabetic patients who suffer from DFU, with over 4,000,000, 200,000 and 1,000,000 receiving treatment in the United States, UK and EU4, respectively, every year. However, there is currently no effective diagnostic pathway for DFU patients in the United States, UK or EU4.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in the United States, patients may undergo standard wound care therapy for 30 days to determine if the ulcer has healed by 50%, before receiving more advanced wound care therapy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negative pressure wound therapy, synthetic skin substitute grafts, growth factors and biologic wound products, and hyperbaric oxygen therapy).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major European markets there are also significant delays in both initial diagnosis of DFUs and referral to specialist treatment programs. In France, England, Spain, and Germany, 54%, 50%, 59%, and 46% of DFU patients, respectively, are diagnosed by Week 4, while 65%, 48%, 51%, and 46% of the patients, respectively, are referred by Week 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these chronic wounds will not respond to standard wound care therapy and would have benefited from advanced wound care therapy on “Day One.” Further complicating this clinical issue, we have identified that clinicians’ wound healing predictions have only a 50% accuracy rate. Unfortunately, diagnostic tools to assess the healing potential of DFUs, such as trans-cutaneous oxygen measurement, ankle-brachial index, and doppler ultrasounds do not provide a wound healing prediction. These systems are often inaccurate and only provide a range of values that indirectly correlate to wound healing.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current systems claiming to be effective in determining DFU healing potential measure only one physiologic parameter, and none applies AI from multiple sources of information, such as photoplethysmography and MSI, to determine potential viability of the tissue. We believe that a single parameter cannot effectively discriminate healing from non-healing DFUs. The American Heart Association concurred noting in a 2019 scientific summary that “No single vascular test has been identified as the most important predictor of wound healing or major amputation for the threatened limb.”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DFU patients have an annual cost of up to $63,100 per patient and see an outpatient provider, on average, 15.5 times per year. Non-healing DFUs in the United Kingdom are reported as being four times more expensive than DFUs that heal. Our primary objective is to provide physicians with a healing prediction that enables them to therapeutically intervene earlier in the patient’s care pathway. Our DeepView technology aims to reduce waiting times, minimize patient costs and lower the probability of infections by offering advanced wound care therapy on “Day One.”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Burn Injuries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and the UK there are over 490,000 and 87,000 burn victims, respectively, who receive emergency medical treatment each year. According to the Institute for Health Metrics and Evaluation, approximately nine million people worldwide seek medical treatment annually for burns, of which approximately 120,000 result in death. In the United States, there are only 134 specialized hospital departments that treat burn patients and about 250 burn surgeons in the country, and of recent medical graduates, only 1% or less train to become a burn specialist.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 victims have varying degrees of tissue damage upon initial admission to the emergency room and burn surgeons must evaluate tissue viability, based on their subjective views and experience, as either healing or non-healing to determine what areas of the burn wound must be surgically excised for grafting. The diagnostic accuracy rate of burn surgeons assessing the viability of burned tissues is estimated to be between 50% to 75%, which can result in unnecessary surgeries for burn patients.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period of assessment is quite lengthy. Physicians typically admit the patient for a period of up to 21 days to wait for the viable tissue to present itself as healing or non-healing before taking the patient to surgery. This “wait and see” period comes at an above average cost for the facility and duress for the burn victim. Currently, the average hospital stay is 8.1 days with an average cost of approximately $24,000. Our DeepView System aims to provide the physician with a “Day One” assessment of whether the burn wound will heal over time and to enable the physician to triage the patient to the appropriate setting sooner. In addition, our technology aims to assist the physician in accurately determining which areas of the burn wound are appropriate for excision and grafting.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DeepView in Practice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DeepView is a predictive analytics platform that combines AI algorithms and MSI imaging for an assessment of wound healing potential. It is non-invasive, non-radiation, non-laser and does not require the use of injectable dye. This integration can be characterized into four distinct components: DeepView imaging, data extraction, AI model building and AI wound healing potential assessment. The DeepView-AI Burns® software is used with the DeepView SnapShot® imaging device, and it is intended to be used as an adjunctive tool to aid health care providers in the assessment of burn wound healing potential by differentiating non-healing from healing burned tissue within an image.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DeepView technology consists of patented proprietary multi-spectral optics and sensors that can classify wound tissue physiology and capture the viability of various biomarkers within the skin.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imaging technology extracts appropriate clinical data, processes the image and displays a comparison of the original image next to an image with a color overlay of the non-healing portions of the wound. The image acquisition takes 0.2 seconds and the output takes approximately 20 to 25 seconds.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DeepView’s proprietary optics can extract millions of pixels of data or AI model features from each raw image. This information is then used to build and continually improve the AI model, which is trained and tested against a proprietary and clinically validated database of approximately 263 billion pixels of DFU and burn data as of December 31, 2022.</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AI algorithm then seeks to produce an objective, accurate, and immediate binary wound healing assessment. This assessment would be graphically represented to the clinician through a colored overlay of the original image that annotates the portion of the wound that is predicted to be non-healing over a specified period of time – 21 days (See Figure 4 below).</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362575" cy="19723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362575" cy="1972310"/>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Figure 4 — Illustration of DeepView’s binary decision assist output where the colored region marks the predicted non-healing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portion of the wound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DeepView System is designed to assist clinicians in making accurate, timely, and informed decisions regarding the treatment of the patient’s wound. In the case of DFUs, an assessment that the wound will not heal over time would provide the physician with the appropriate justification to use an advanced wound care therapy on “Day One” as opposed to waiting 30 days and potentially losing the patient to follow-up or risking patient non-compliance with standard wound therapy. The current clinical accuracy of DeepView in ongoing clinical trials is 86% for DFUs compared with current physician accuracy of 50%. Subject to FDA market authorization of the product, for burn wounds, the clinician could make an immediate and objective determination for appropriate candidates for surgery as well as determining what specific areas of the burn wound will require skin grafting. In ongoing clinical trials, DeepView’s current accuracy for burn wounds non-healing predictions is 92%, compared with current physician accuracy of 50 to 75%, according to industry literature. In addition, in head-to-head clinical trial evaluations, when compared to “ground truth” our DeepView System provided higher accuracy of burn wound analysis than the accuracy of burn specialists, reporting at 70 – 80% accuracy, and non-burn specialist physicians, reporting at 50 – 60% accuracy, when comparing “Day One” analysis to “ground truth” determined on day 21. We have conducted three large clinical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studies with multiple sites across the United States, enrolling 413 patients, including 329 adult burn patients and 84 pediatric burn patients. Through these studies we were able to determine burn assessment accuracy in both surgery and non-surgical treatment.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table below for an analysis of the current DeepView System’s benefits to patient care:</w:t>
      </w:r>
    </w:p>
    <w:tbl>
      <w:tblPr>
        <w:tblW w:w="8890" w:type="dxa"/>
        <w:jc w:val="left"/>
        <w:tblInd w:w="0" w:type="dxa"/>
        <w:tblLayout w:type="fixed"/>
        <w:tblCellMar>
          <w:top w:w="0" w:type="dxa"/>
          <w:left w:w="0" w:type="dxa"/>
          <w:bottom w:w="0" w:type="dxa"/>
          <w:right w:w="0" w:type="dxa"/>
        </w:tblCellMar>
      </w:tblPr>
      <w:tblGrid>
        <w:gridCol w:w="4741"/>
        <w:gridCol w:w="146"/>
        <w:gridCol w:w="1906"/>
        <w:gridCol w:w="146"/>
        <w:gridCol w:w="1951"/>
      </w:tblGrid>
      <w:tr>
        <w:trPr/>
        <w:tc>
          <w:tcPr>
            <w:tcW w:w="47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Burn</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DFU</w:t>
            </w:r>
          </w:p>
        </w:tc>
      </w:tr>
      <w:tr>
        <w:trPr/>
        <w:tc>
          <w:tcPr>
            <w:tcW w:w="47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Time to Decision</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 Days</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 Days</w:t>
            </w:r>
          </w:p>
        </w:tc>
      </w:tr>
      <w:tr>
        <w:trPr/>
        <w:tc>
          <w:tcPr>
            <w:tcW w:w="47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DeepView® Time to Decision</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Day 1</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Day 1</w:t>
            </w:r>
          </w:p>
        </w:tc>
      </w:tr>
      <w:tr>
        <w:trPr/>
        <w:tc>
          <w:tcPr>
            <w:tcW w:w="47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Clinical Accuracy</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 – 75%</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47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DeepView® Accuracy in Ongoing Clinical Trials</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47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DeepView® Estimated Cost savings</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~$24,000 per stay</w:t>
            </w:r>
          </w:p>
        </w:tc>
        <w:tc>
          <w:tcPr>
            <w:tcW w:w="146"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~$63,100 per stay</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Artificial Intelligence and Data Repository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developing what we believe to be the only AI enabled predictive wound healing imaging technology that translates raw physiological data/images into an output to provide “Day One” healing assessments for wound care. Through our strategic partnerships with multiple clinical and academic partners, we are able to access large, diverse and specific sets of wound data inputs to develop, validate and improve our DeepView algorithms efficiently and effectively. We believe we have the pre-eminent proprietary clinical wound database. The depth and quality of our proprietary data is critical to developing a leading wound assessment technology with demonstrated clinical need across burn, DFU and other indications with a positive impact on health economics and patient outcomes, while safeguarding patient data and privacy.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with many developing technologies, AI presents risks and challenges that could affect its further development, adoption, and use, and therefore our business. See “</w:t>
      </w:r>
      <w:r>
        <w:rPr>
          <w:rFonts w:ascii="Times New Roman PS Std;serif" w:hAnsi="Times New Roman PS Std;serif"/>
          <w:b w:val="false"/>
          <w:i/>
          <w:caps w:val="false"/>
          <w:smallCaps w:val="false"/>
          <w:sz w:val="20"/>
        </w:rPr>
        <w:t>Risk Factors — Issues in the use of artificial intelligence, including machine learning, in our analytics platforms may result in reputational harm or liability</w:t>
      </w:r>
      <w:r>
        <w:rPr>
          <w:rFonts w:ascii="Times New Roman PS Std;serif" w:hAnsi="Times New Roman PS Std;serif"/>
          <w:b w:val="false"/>
          <w:i w:val="false"/>
          <w:caps w:val="false"/>
          <w:smallCaps w:val="false"/>
          <w:sz w:val="20"/>
        </w:rPr>
        <w:t>” for further details.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DeepView Development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multi-generational development of our DeepView System is summarized below.</w:t>
      </w:r>
    </w:p>
    <w:tbl>
      <w:tblPr>
        <w:tblW w:w="10205" w:type="dxa"/>
        <w:jc w:val="left"/>
        <w:tblInd w:w="0" w:type="dxa"/>
        <w:tblLayout w:type="fixed"/>
        <w:tblCellMar>
          <w:top w:w="0" w:type="dxa"/>
          <w:left w:w="0" w:type="dxa"/>
          <w:bottom w:w="0" w:type="dxa"/>
          <w:right w:w="0" w:type="dxa"/>
        </w:tblCellMar>
      </w:tblPr>
      <w:tblGrid>
        <w:gridCol w:w="2557"/>
        <w:gridCol w:w="146"/>
        <w:gridCol w:w="3222"/>
        <w:gridCol w:w="146"/>
        <w:gridCol w:w="4134"/>
      </w:tblGrid>
      <w:tr>
        <w:trPr/>
        <w:tc>
          <w:tcPr>
            <w:tcW w:w="25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Generational Advancements</w:t>
            </w:r>
          </w:p>
        </w:tc>
        <w:tc>
          <w:tcPr>
            <w:tcW w:w="146" w:type="dxa"/>
            <w:tcBorders/>
            <w:vAlign w:val="bottom"/>
          </w:tcPr>
          <w:p>
            <w:pPr>
              <w:pStyle w:val="TableContents"/>
              <w:bidi w:val="0"/>
              <w:spacing w:before="0" w:after="283"/>
              <w:jc w:val="left"/>
              <w:rPr/>
            </w:pPr>
            <w:r>
              <w:rPr/>
              <w:t> </w:t>
            </w:r>
          </w:p>
        </w:tc>
        <w:tc>
          <w:tcPr>
            <w:tcW w:w="322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Technology</w:t>
            </w:r>
          </w:p>
        </w:tc>
        <w:tc>
          <w:tcPr>
            <w:tcW w:w="146" w:type="dxa"/>
            <w:tcBorders/>
            <w:vAlign w:val="bottom"/>
          </w:tcPr>
          <w:p>
            <w:pPr>
              <w:pStyle w:val="TableContents"/>
              <w:bidi w:val="0"/>
              <w:spacing w:before="0" w:after="283"/>
              <w:jc w:val="left"/>
              <w:rPr/>
            </w:pPr>
            <w:r>
              <w:rPr/>
              <w:t> </w:t>
            </w:r>
          </w:p>
        </w:tc>
        <w:tc>
          <w:tcPr>
            <w:tcW w:w="413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FDA Clearance Date</w:t>
            </w:r>
          </w:p>
        </w:tc>
      </w:tr>
      <w:tr>
        <w:trPr/>
        <w:tc>
          <w:tcPr>
            <w:tcW w:w="25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DeepView Gen 1</w:t>
            </w:r>
          </w:p>
        </w:tc>
        <w:tc>
          <w:tcPr>
            <w:tcW w:w="146" w:type="dxa"/>
            <w:tcBorders/>
            <w:shd w:fill="CCEEFF" w:val="clear"/>
            <w:vAlign w:val="bottom"/>
          </w:tcPr>
          <w:p>
            <w:pPr>
              <w:pStyle w:val="TableContents"/>
              <w:bidi w:val="0"/>
              <w:spacing w:before="0" w:after="283"/>
              <w:jc w:val="left"/>
              <w:rPr/>
            </w:pPr>
            <w:r>
              <w:rPr/>
              <w:t> </w:t>
            </w:r>
          </w:p>
        </w:tc>
        <w:tc>
          <w:tcPr>
            <w:tcW w:w="322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Photoplethysmography (PPG)</w:t>
            </w:r>
          </w:p>
        </w:tc>
        <w:tc>
          <w:tcPr>
            <w:tcW w:w="146" w:type="dxa"/>
            <w:tcBorders/>
            <w:shd w:fill="CCEEFF" w:val="clear"/>
            <w:vAlign w:val="bottom"/>
          </w:tcPr>
          <w:p>
            <w:pPr>
              <w:pStyle w:val="TableContents"/>
              <w:bidi w:val="0"/>
              <w:spacing w:before="0" w:after="283"/>
              <w:jc w:val="left"/>
              <w:rPr/>
            </w:pPr>
            <w:r>
              <w:rPr/>
              <w:t> </w:t>
            </w:r>
          </w:p>
        </w:tc>
        <w:tc>
          <w:tcPr>
            <w:tcW w:w="4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w:t>
            </w:r>
          </w:p>
        </w:tc>
      </w:tr>
      <w:tr>
        <w:trPr/>
        <w:tc>
          <w:tcPr>
            <w:tcW w:w="255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DeepView Gen 2</w:t>
            </w:r>
          </w:p>
        </w:tc>
        <w:tc>
          <w:tcPr>
            <w:tcW w:w="146" w:type="dxa"/>
            <w:tcBorders/>
          </w:tcPr>
          <w:p>
            <w:pPr>
              <w:pStyle w:val="TableContents"/>
              <w:bidi w:val="0"/>
              <w:spacing w:before="0" w:after="283"/>
              <w:jc w:val="left"/>
              <w:rPr/>
            </w:pPr>
            <w:r>
              <w:rPr/>
              <w:t> </w:t>
            </w:r>
          </w:p>
        </w:tc>
        <w:tc>
          <w:tcPr>
            <w:tcW w:w="322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PPG and Multi-Spectral Imaging (MSI)</w:t>
            </w:r>
          </w:p>
        </w:tc>
        <w:tc>
          <w:tcPr>
            <w:tcW w:w="146" w:type="dxa"/>
            <w:tcBorders/>
          </w:tcPr>
          <w:p>
            <w:pPr>
              <w:pStyle w:val="TableContents"/>
              <w:bidi w:val="0"/>
              <w:spacing w:before="0" w:after="283"/>
              <w:jc w:val="left"/>
              <w:rPr/>
            </w:pPr>
            <w:r>
              <w:rPr/>
              <w:t> </w:t>
            </w:r>
          </w:p>
        </w:tc>
        <w:tc>
          <w:tcPr>
            <w:tcW w:w="4134"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2017</w:t>
            </w:r>
          </w:p>
        </w:tc>
      </w:tr>
      <w:tr>
        <w:trPr/>
        <w:tc>
          <w:tcPr>
            <w:tcW w:w="255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DeepView Gen 3</w:t>
            </w:r>
          </w:p>
        </w:tc>
        <w:tc>
          <w:tcPr>
            <w:tcW w:w="146" w:type="dxa"/>
            <w:tcBorders/>
            <w:shd w:fill="CCEEFF" w:val="clear"/>
          </w:tcPr>
          <w:p>
            <w:pPr>
              <w:pStyle w:val="TableContents"/>
              <w:bidi w:val="0"/>
              <w:spacing w:before="0" w:after="283"/>
              <w:jc w:val="left"/>
              <w:rPr/>
            </w:pPr>
            <w:r>
              <w:rPr/>
              <w:t> </w:t>
            </w:r>
          </w:p>
        </w:tc>
        <w:tc>
          <w:tcPr>
            <w:tcW w:w="3222"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MSI and AI Algorithms</w:t>
            </w:r>
          </w:p>
        </w:tc>
        <w:tc>
          <w:tcPr>
            <w:tcW w:w="146" w:type="dxa"/>
            <w:tcBorders/>
            <w:shd w:fill="CCEEFF" w:val="clear"/>
          </w:tcPr>
          <w:p>
            <w:pPr>
              <w:pStyle w:val="TableContents"/>
              <w:bidi w:val="0"/>
              <w:spacing w:before="0" w:after="283"/>
              <w:jc w:val="left"/>
              <w:rPr/>
            </w:pPr>
            <w:r>
              <w:rPr/>
              <w:t> </w:t>
            </w:r>
          </w:p>
        </w:tc>
        <w:tc>
          <w:tcPr>
            <w:tcW w:w="4134"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Targeting 2025 (subject to FDA marketing authorization)</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generation of our DeepView System, DeepView GEN 1, which gained FDA clearance in 2013 (510(k) pre-market notification, K124049), was based on generating reflectance PPG signals by measuring light interaction with dynamic changes in the vascularized tissues. This technique produced a map of blood flow in the microcirculation of tissue to detect relative difference in blood flow in tissues. Spectral’s PPG imaging was used in clinical studies to investigate blood-flow changes in chronic wounds (e.g., pressure ulcers), surgical wounds (e.g., incision sites), and burns. This device was also used in animal studies to investigate its ability to differentiate viable tissue from burn tissue in an animal model of burn excision surgery. However, the data acquisition process for PPG signal collection involved video recording of 30 seconds which introduces artifacts in the signal when the patient cannot be still.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generation, DeepView GEN 2, which gained FDA clearance in 2017 (510(k), K163339), utilized, in addition to PPG, wide field MSI system to rapidly capture multiple reflectance measurements of pre-selected wavelengths of light characteristic of the target tissue damage. Unlike its predecessor, this device captured PPG signals in a seven second video and thus reduced motion related noise signal.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BARDA funding in 2014, we began focusing our technology on the integration of MSI and AI algorithms for tissue classification. Pre-clinical animal testing resulted in initial machine learning algorithms for the classification of seven tissue types found in burn excision surgery including blood, viable skin, viable wound dermis, non-viable skin (burned skin), and burned dermis to name a few. Following pre-clinical testing, we completed feasibility testing of burn assessment with this technique in 38 human subjects at a single burn center in 2018. In addition, we began exploring other clinical applications, such as determining the healing potential of DFUs and predicting the appropriate amputation site on the lower extremity for patients with critical limb ischemia.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DeepView GEN 3 System differs from its predecessors in that it: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utilizes a proprietary multispectral imaging sensor called the SnapShot imaging sensor (US Patent No. 11,631,164, 2020);</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is re-designed to be a much more portable version with a smaller footprint;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stores the AI algorithms for burn and DFU assessment within the onboard software.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DeepView GEN 3 utilizes a proprietary illumination system for tissue imaging with a patented high-resolution multi-aperture SnapShot multispectral sensor. This sensor captures all required MSI data for processing in one 0.2 second image capture data. This sensor is rapid enough to essentially eliminate the noise from patient motion during image acquisition. The eight reflectance measurements captured at the experimentally pre-determined visible and near-infrared wavelengths are processed to yield the reflectance profile of the tissue at each image pixel location, or multispectral signature, characteristic of the tissue composition. Different wavelengths have different tissue penetration depths for tissue characterization. Differences in the spectral signatures between healing and non-healing tissue are utilized to make predictions of wound healing over time. We have not yet applied for or received the FDA’s review for the DeepView GEN 3 device.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 is in development for multiple clinical indications, to be incorporated with the imaging component, and be comprise together as the DeepView GEN3 System, including classification of burn and DFU healing potential. The AI methods have been established for prediction of tissue which tissue will heal or be non-healing over time via Deep Learning (“DL”) developed using proprietary MSI data collected from patients in clinical studies sponsored by Spectral. There are nine patent prosecution families that protect the intellectual property behind the imaging modality and clinical applications of DeepView GEN 3. Clinical data collection with the DeepView GEN 3 System device started in April 2020.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Technical Characterization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a number of non-contact, non-invasive, non-radiation optical modalities available for the assessment of burn wound severity such as near infrared spectroscopy, terahertz spectroscopy, laser Doppler imaging, optical coherence tomography, laser speckle imaging, special frequency domain imaging. There are several imaging tools already available commercially, some of which involve invasive procedures — NOVADAQ, Moore Instruments, Tissue Analytics, HITACHI. However, none of these devices are indicated for the prediction of wound healing potential.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Spectral is developing two applications for wound healing prediction that will be available on the GEN3 device. They include the assessment of burn wound depth and the assessment of DFU healing potential. The purpose of the burn wound AI algorithm is to automatically segment (or highlight) the regions of deep burn tissue within a DeepView image. Deeply burned tissue is typically treated by excision and grafting with skin harvested from a healthy region elsewhere on the body. Therefore, the accurate identification and differentiation of severely burned skin from less severely burn skin has the potential to improve treatment decisions regarding surgical excision as well as in upstream burn care where burn depth effects resuscitation efforts for the patient.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development of these applications, the availability of MSI images and the true physiology of the burn or DFU in the image are required. In our clinical studies where data is collected for AI development, we follow standardized protocols designed for accurate wound assessment. For burn wounds, a group of burn surgeons and a dermatopathologists are involved in the independent “ground truth” classification of the true depth of burn wounds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AI training. Punch biopsies taken immediately prior to surgical excision are interpreted by a derma-pathologist for viable epidermis, dermis and other tissue structures such as hair follicles and sweat glands. In addition, when burn patients are not sent for surgery, the true burn physiology is determined by a standardized healing assessment of the burn tissue at 21-days post-burn. Using either punch biopsies or healing assessment data, a panel of three expert burn surgeons evaluates every DeepView GEN3 image collected in the study to obtain a consensus label of the burn’s “ground truth” physiology. Only these rigorously evaluated labels from expert panels are used for DL algorithm development and training.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are sample images from our proof-of-concept clinical study conducted at Wake Forest Baptist Medical Center Burn Center in Winston-Salem, North Carolina showing color images of clinical burns (left column), the DeepView GEN 3 System’s prediction of deep and non-viable burn tissue superimposed on color images where the algorithm identifies non-healing burns as purple (center column), and histologically determined depth of tissue damage, Ground Truth, for color images (right column) where white areas indicate the true regions of non-healing burns determined by histology result (Figure 5). These wounds include both light and dark pigmented patients, and the burn in the middle row is a healing burn as indicated by the lack of a white region in its Ground Truth image.</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229100" cy="35998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229100" cy="359981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Figure 5 — Illustration of DeepView’s highlighted region that marks the predicted non-healing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portion of the wound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largest (over 1,000 biopsies) proprietary burn biopsy tissue bank known to date, resulting from our successful completion of three multicenter burn imaging studies. The tissue collected and stored in this bank is a valuable resource for scientific advancement in wound research including drug development, gene expression, proteomics, and immunology.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aim of the DFU AI application is to classify DFUs that will not respond to standard wound care therapy so that wound care doctors can rapidly transition these patient’s wounds to advanced therapies that accelerate healing. This is importance to wound care doctors because current standard of care involves a wait-and-see approach where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is first given, and only if the wound does not shows a measurable response after four weeks is the therapy changed to a more advanced method. This technology has the potential to expedite the use of advanced treatment, saving patients up to a month of unnecessary care.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DFU algorithm relies on MSI data within and around the wound. To capture this data, the borders of the wound must be known. Below are sample images of three sets of results from the DeepView GEN 3 System for automated segmentation of DFU tissue, a part of the DFU assessment application, showing color photographs representative of the input DeepView data to the trained AI (left column), AI predicted locations of the callous (yellow) and wound (cyan) (center column) and Ground Truth masks indicating the true location of the callous (yellow) and wound (cyan) (right column) (See Figure 6).</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371975" cy="3886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371975" cy="3886200"/>
                    </a:xfrm>
                    <a:prstGeom prst="rect">
                      <a:avLst/>
                    </a:prstGeom>
                  </pic:spPr>
                </pic:pic>
              </a:graphicData>
            </a:graphic>
          </wp:inline>
        </w:drawing>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Figure 6 — Sample images of three sets of results from the DeepView GEN 3 System for automated segmentation of wound tissue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wound segmentation, an algorithm is used to predict the DFU’s potential to respond to treatment. Below is a schematic representation of one way this prediction can be obtained using a DL approach (Figure 7). Input multispectral patient data processed by DL algorithm (center, grey box) to yield the probability output of positive for responsive or negative for non-responsive (right, Figures 5 and 6, center column). DL is a subset of Machine Learning (“ML”), which in turn is a subset of AI. Using multi-layer artificial neural network (center, grey box) comprised of convolution layers (slabs) and fully connected layers (dots), DL algorithm can learn directly from raw image data input to help make intelligent decisions and can increase its predictive accuracy for non-healing tissue when provided more data for algorithm training. Furthermore, while not shown explicitly in this figure, we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have explored the use of combining patient medical data with images for classification of ulcer healing potential. Additionally, the process of algorithm training for DFU is different to that of burn since the input data for the two are mutually exclusive.</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495925" cy="264858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495925" cy="264858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Figure 7 — Schematic representation of the steps involved in generating DeepView GEN 3 System output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Medical Imaging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Central to the DeepView GEN 3 System is the proprietary AI predictive analytics for the assessment of wound healing potential applicable to both burns and DFUs. The AI analytics is driven by DL and ML algorithms that are being trained and optimized exclusively to the unique and proprietary MSI datasets acquired from clinical studies. Our in-house expertise has made possible the necessary technology platform to interrogate the information contained in the rich multidisciplinary datasets of images and patient health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to recognize that, to avoid costly and time-consuming clinical trials, many companies specializing in medical imaging analytics that are supported by AI utilize purchased or publicly available clinical datasets. When an AI device intended for use with a specific clinical protocol has been trained using data obtained from an external source, such as data acquired through a different clinical protocol, the resulting device output could be compromised. This is a result of external data not adequately representing the same patient population or collection methods to which the algorithm will be applied in the real world. To meet the high standards necessary for the development of predictive algorithms, the algorithm is developed using data that was collected with the same imaging technology, under the same clinical circumstances, and on the same population for which it is intended.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approximately 263 billion pixels of proprietary DFU and burn data have been acquired and utilized for the DL algorithms training. Plans are in place to store anonymized patient data on a reputable cloud platform that incorporate administrative, technical, and physical safeguards consistent with the security regulations promulgated pursuant to HIPAA.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Strengths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following key strengths will help us to maintain and grow our business going forward: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 Leading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developed proprietary AI algorithms and optical technology to assist clinicians to make more accurate and faster treatment decisions in managing patient’s wounds. This technology is the result of 13 years of research and development, thousands of hours of user feedback, and most importantly, the continual commitment to ensuring that the output from DeepView answers a clinical question that is meaningful physicians. We own and control the entirety of our data pipeline. We do not rely on stock images or databases for our algorithms, only images and data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the solution collects in a controlled clinical environment. All optical technology has been developed in-house and is specifically engineered to collect this imaging data. A current image of our cart-based DeepView System appears below in Figure 8.</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1524000" cy="2200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24000" cy="220027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Figure 8 — DeepView Generation 3 System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Unmet Clinical Need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biggest unmet need for clinicians treating DFU and burn wounds is the lack of a diagnostic tool that provides an objective wound healing determination on “Day One.” While burns and DFUs appear to be very different types of wounds, they are in fact similar from the perspective of assessment and diagnosis. The treatment pathways for each of these wounds can be generally characterized by a subjective initial assessment from the physician followed by multiple days of clinical observation to assess whether or not the wound responded to treatment. Both are primarily staged by their penetration depth into the skin and involvement of tissues below the skin in severe cases. Both DFUs and burns are diagnosed by expert clinical opinion without the aid of objective diagnostic tools that provide a wound healing prediction. Furthermore, the current methods of diagnosis rely on a “wait and see” approach that result in prolonged hospital stays and costly delays in the delivery of definitive treatment. Our goal is to eliminate these costly delays between initial screening and the delivery of a definitive treatment through the use of AI algorithms applied to our proprietary multispectral wound images. We believe that this unmet need for effectiveness and efficient assessment and treatment of burn wounds is recognized by BARDA, as demonstrated by their significant and continuing investment in us to date.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Significant Market Opportunity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Geography</w:t>
      </w:r>
      <w:r>
        <w:rPr>
          <w:rFonts w:ascii="Times New Roman PS Std;serif" w:hAnsi="Times New Roman PS Std;serif"/>
          <w:b w:val="false"/>
          <w:i w:val="false"/>
          <w:caps w:val="false"/>
          <w:smallCaps w:val="false"/>
          <w:sz w:val="20"/>
        </w:rPr>
        <w:t> — DeepView has the potential to service a large total addressable market. We estimate that there are over 57,000 sites of clinical care in which the technology could be placed in the United States and over 20,000 sites across the UK and EU4. For all geographies, these sites include both acute inpatient hospitals and outpatient sites of care, in order to include physician offices. As we expand from the United States into the UK and EU4, we will consider follow-on markets for commercial expansion, including China, South Korea, Japan, the Middle East, and South America.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Pipeline Applications</w:t>
      </w:r>
      <w:r>
        <w:rPr>
          <w:rFonts w:ascii="Times New Roman PS Std;serif" w:hAnsi="Times New Roman PS Std;serif"/>
          <w:b w:val="false"/>
          <w:i w:val="false"/>
          <w:caps w:val="false"/>
          <w:smallCaps w:val="false"/>
          <w:sz w:val="20"/>
        </w:rPr>
        <w:t xml:space="preserve"> — Though we are currently focused on the DFU and burn applications for DeepView, there are other pipeline applications that we are considering for future commercialization. As noted above, we have already received U.S. government funding for the development of our DeepView SnapShot M fully handheld device for use in combat, military and home health care uses. We are expanding the indication usage of the DeepView System to incorporate a wound and burn measurement tool for clinicians in concert with BARDA. We have also explored the technology’s potential for the assessment of venous leg ulcers, critical limb ischemia, level of lower limb amputation selection, post-operative perfusion assessment for peripheral interventions, and military applications. For all future pipeline applications, we believe that the technology would remain constant, in that we will leverage our data analytics algorithms to improve predictive analyses. However, we would need to conduct a clinical study to collect enough patient data to appropriately support algorithm development for each new application. These new algorithms could easily be uploaded to existing machines in the future. From a regulatory perspective, we believe that these follow-on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applications would all follow a 510(k) clearance process although in some cases, we may need to follow the De Novo classification or premarket approval pathway if we are not able to identify a predicate, or if use of the device for a new indication is classified as a Class III device.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Existing and future revenue base from long term U.S. Government Contracts — BARDA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2013, we have received approximately $280.0 million in funding from government contracts, primarily from BARDA, which accounts for $272.9 million. This has allowed us to develop our technology and further our clinical trials. On September 27, 2023, the Company executed a new contract with BARDA, providing the Company with additional funding of up to $149.9 million, including an initial award of approximately $55.0 million to support the clinical validation and FDA clearance of our DeepView System, in place of the prior contract Option 2 award which was approximately $22.0 million. This will include the distribution of up to 30 DeepView Systems in various emergency rooms and burn centers to support the clinical validation study and to transition the use of our DeepView System to being used routinely upon FDA marketing authorization. The contract also includes options, similar to our prior BARDA contracts, with an additional total value of approximately $95.0 million which can be exercised for additional product development, procurement and the expanded deployment of DeepView Systems at emergency rooms, trauma and burn centers. These deployments will enable the Company to conduct health economic and outcome research to support the broader clinical adoption of the DeepView System. The Company is also completing work on the Option 1B of its prior contract award relating to our Burn Training study, which was extended through December 31, 2023 upon which the Company will receive approximately $2.0 million of additional funding. This grant funding is non-dilutive to our stockholders, and we believe it validates the important nature of its mission and technology. See “Information about Spectral — The BARDA Contract” for further details.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Significant Wound Data Repository from Artificial Neural Network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approximately 263 billion pixels of proprietary DFU and burn data have been acquired and utilized for the deep learning algorithms training. This presents a significant barrier to entry to would-be competitors in wound care healing assessments. The data collection to clinical output, the flow, quality and control of the data pipeline is managed entirely by us. Our DeepView System uses deep learning on its wound data repository to recognize patterns and correlations of injured tissue spectral signatures to produce reliable and reasonable assessment for clinicians to make accurate and faster treatment decisions. We believe that our strategic partnerships with various leading medical institutions and healthcare providers in the United States and Europe will enable us to access high quality image data and build the world’s leading wound biopsy tissue database. Our AI algorithms are designed and trained to the clinical Ground Truth that has been verified and vetted by various U.S. government agencies and leading clinicians in their respective fields. They have not yet been reviewed or cleared by FDA.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Strategic Partnerships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developed strategic partnerships with multiple clinical and academic partners. In the United States, we are currently engaged with leading research hospitals that are enrolling subjects for our Burn AI training study. In the EU and UK, we have partnered with the Royal College of Surgeons Ireland, as well as key opinion leaders to provide us with greater knowledge in the wound care sector. Our partnerships with these institutions provide us with the opportunity to collaborate with leading wound care providers to develop effective early stage wound assessment technology. We utilize these strategic partnerships to support the ongoing clinical validation studies we are using to develop our algorithmic model. Each of our clinical study/trials include certain protocol requirements to ensure a uniform testing process for our technology.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Proven Experienced Management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and senior management team have significant experience in the technology and healthcare sectors, with a track record of successful entrepreneurship, operational acumen, strategic relationships and the ability to understand and navigate the complexities of healthcare. Our directors also bring significant expertise from previous public company experience along with financial, governance and technical oversight.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Respected Advisory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established an Advisory Board composed of industry experts and opinion leaders that will raise our profile. Its members will provide us with external, industry-specific perspectives and technical support. Brief biographical details of our Advisory Board are summarized below.</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Toby Cosgrove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Toby Cosgrove M.D. is the former President and Chief Executive Officer of Cleveland Clinic and currently serves as an Executive Advisor to the $5 billion healthcare system. Dr. Cosgrove is a sought-after speaker worldwide. He has addressed the World Economic Forum Annual Meeting at Davos, Switzerland, and the Senate Health, Education, Labor and Pensions Committee, in Washington, D.C. He is regularly quoted and featured in national magazines and newspapers, including a cover story in Time, and major articles in Newsweek, the New York Times, and the Washington Post. He has appeared on CNN, Fox, MSNBC, NBC, CBS, “The Charlie Rose Show” on PBS, and other national media outlets.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recipient of Cleveland Clinic’s Master Clinician Award, Innovator of the Year Award and Lerner Humanitarian Award, Dr. Cosgrove is also a member of Cleveland Medical Hall of Fame and Cleveland Business Hall of Fame. In 2007, he was named Cleveland Business Executive of the Year by the Sales and Marketing Executives of Cleveland, and Castle Connolly’s National Physician of the Year. He also received the Woodrow Wilson Center Award for Public Service as well as Harvard Business School’s Award from HBS Alumni, Cleveland, and the Humanitarian Award of the Diversity Center of Northeast Ohio. Dr. Cosgrove topped Inside Business’s “Power 100” listing for Northeast Ohio and is highly ranked among Modern Healthcare’s “100 most powerful people in healthcare” and “most powerful physician executives.”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John Botts, CBE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Botts is a Senior Advisor to Allen &amp; Company, Chairman of The Ink Factory, and Advisor/Director to several early-stage tech platform companies. He is a former career banker with Citi running its investment banking division in Europe, including CVC. He is also a former Chairman of UBM plc, Euromoney plc, former Advisor of Corsair Capital, Director of Songbird (Canary Wharf), and currently serves as Director of Glyndebourne Productions (former Chair) and the Tate Foundation and as a Member of the Council on Foreign Relations.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our knowledge, no other predictive wound-healing diagnostic imaging technology is available to clinicians who treat wounds. DeepView’s competitive advantage is that it is the only AI-enabled wound imaging technology that translates raw physiological data/images into an output that is directly correlated to wound healing.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Several companies have developed wound imaging systems for burn injuries and DFUs; however, these systems incorporate technology such as spatial frequency domain imaging, thermal imaging, photographic documentation, hyperspectral imaging, and near-infrared imaging that provide physiologic data to the physician. Ultimately, this physiologic data only provides an indirect linkage to wound healing and does not display a binary result of “healing vs. non-healing.” Furthermore, the majority of systems in the wound care space are merely documentation tools that record measurements of the wound for health record purposes and still rely upon subjective clinician opinion for treatment decisions. The advent of a novel technology such as the DeepView System not only has the potential to disrupt the therapeutic pathway within the wound care market, but also to create a new diagnostic market for wound care that did not exist previously for clinics and physicians, subject to successful development of the device and FDA marketing authorization. As noted above, although our previous DeepView Systems received 510(k) clearance, and we have received FDA BDD clearance for our DeepView GEN 3 System, there can be no assurance that we will be able to obtain market authorization in the US, UK or EU.</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Clinical Studies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DFU Clinical Studies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2021, we completed enrollment for our IRB approved multi-center training study to support the development of our DFU application for the DeepView System. The study enrolled a total of 100 adult subjects and was executed successfully and on schedule across five clinical sites in the United States. We followed up on this study with another training study with an additional enrollment of another 100 adult subjects, which was executed successfully and on schedule across five clinical sites in the United States, and concluded in January 2023. The DFU images and clinical data collected are currently being incorporated into the database for the development of DeepView’s DFU algorithm. The data informs on key datapoints that are captured in additional newly developed features of the DeepView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2023, we commenced our validation study with a planned enrollment of another 100 adult subjects across 10 clinical sites in the United States and EU. The data collected throughout the study will support our applications for FDA and CE mark approval for DeepView’s DFU indication — one of the necessary milestones required to commercialize DeepView’s DFU application. The completion of enrollment for the multi-center study is an important milestone and illustrates how we are delivering on the expected milestones since our initial public offering on the AIM market in June 2021. The development of the DeepView System for the DFU application and the user interface software have seen substantial progress.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Burn Wound Clinical Studies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successful completion of the ePOC multi-center clinical study in the first quarter of 2021, we received two additional grants, $20.6 million in March 2021 and $18.8 million in September 2021, to bolster our existing clinical database to train the AI algorithm, and to improve the DeepView® technology in early burn wound healing assessment. The $20.6 million contract awarded under Option 1A was exercised by BARDA in March 2021 to execute the first stage of the clinical training study to train the DeepView AI algorithm at five sites. The contract option funding of $18.8 million under Option 1B of our prior contract with BARDA was granted six months ahead of schedule, which enabled us to accelerate the initiation of the second stage of our clinical training study with confidence. Funding from Option 1B was used to expand the study to 10 clinical sites, and from 100 to a total of 250 clinical subjects. This study was completed in the second quarter of 2023 and included 190 adult and 60 pediatric clinical subjects across 12 clinical sites; resulting in one of the largest prospective multi-center burn studies ever conducted. In adult participants, the DeepView GEN 3 System showed 92% accuracy, with cross-validation from the AI model for identification of non-healing burn regions. In pediatric patients the AI performance of the DeepView System showed 88% accuracy, underlining how the AI technology is responding with significant reliability to variability in the study population. Based on these strong results, we have bolstered our infrastructure to facilitate the expansion of the study to additional sites and will advance our validation study in 2023 in order to complete the AI algorithm’s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began conducting a clinical validation study in the fourth quarter of 2023 with the objective of completing the development of the ML algorithm, the results from which will be used in submission to the FDA. We plan to enroll an additional 250 subjects (both adult and pediatric) across at least 20 clinical sites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granted BDD status by the FDA in 2018 for the MSI combined with AI device technology applied to burn wound assessment. The BDD Program is a program issued to certain medical devices and device-led combination products that provide for more effective treatment or diagnosis of life-threatening or irreversibly debilitating diseases or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BDD status gives us prioritized reviews and a dedicated line of communication with reviewing members of the FDA. We regularly engage with the reviewers and meet them on average twice a year to share development progress and future directions for feedback, which includes clinical study design and the image data acquisition protocol for burn wounds. As a result of this continuing and transparent interaction with the FDA, we have gained a deeper understanding of the regulatory pathway for the DeepView GEN 3 System and have already established that a component of the marketing submission will involve an AI algorithm performance upgrade plan applicable at appropriate stages of the life span of the device.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2023, we held a pre-submission meeting with the FDA to ensure that the design of the validation study will meet the evidentiary requirements of the FDA. Our goal is for the Burn application to follow a similar clinical and regulatory framework with a forecasted De Novo submission to the FDA in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Clinical Validation and Regulatory Pathway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evaluated risk of the technology, we believe that DeepView may achieve Class II classification in the US via a De Novo application. We have received a recommendation from HPRA for a Class IIa designation for CE Mark certification in the EU.</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present the AI-DFU application as the first indication for regulatory marketing authorization in the United States and UK. The burn indication for use may follow as a 510(k), subject to review and agreement by the FDA, supported by clinical data evaluated by a methodology similar to AI-DFU.</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that establishing the clinical foundation is key to the successful commercialization of our technology. We plan to establish this foundation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the input and clinical buy-in of physician key opinion leaders in wound care and burn surgery;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trade shows to showcase the Group’s technology (American Burn Association, Southern Burn Association, American College of Cardiology, and Society for Advanced Wound Care);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publishing results in peer-reviewed journals (Journal of Wound Care, Journal of Vascular Surgery, Journal of Burn Care &amp; Research).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BARDA Contract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2013, we have received approximately $280.0 million in government contracts, primarily from BARDA, which accounts for $272.9 million. This has allowed us to develop our technology and further our clinical trials. From 2013 through 2019 our BARDA “Burn I” contract we received $26.0 million and have been awarded an additional $96.9 million under our BARDA “Burn II” contract which was awarded in multiple tranches. On September 27, 2023, the Company executed a new contract with BARDA, providing the Company with additional funding of up to $149.9 million, including an initial award of approximately $55.0 million to support the clinical validation and FDA clearance of our DeepView System, in place of the prior contract Option 2 award which was approximately $22.0 million. This will include the distribution of up to 30 DeepView Systems in various emergency rooms and burn centers to support the clinical validation study and to transition the use of our DeepView System to being used routinely upon FDA clearance. The contract also includes options, similar to our prior BARDA contracts, with an additional total value of approximately $95.0 million which can be exercised for additional product development, procurement and the expanded deployment of DeepView Systems at emergency rooms, trauma and burn centers. These deployments will enable the Company to conduct health economic and outcome research to support the broader clinical adoption of the DeepView System. The Company is also completing work on the Option 1B of its prior contract award relating to our Burn Training study, which was extended through December 31, 2023 upon which the Company will receive approximately $2.0 million of additional funding. Under this contract, we expect to further the DeepView System design, develop the AI algorithm, and take the necessary steps to obtain FDA marketing authorization for our DeepView GEN 3 System. However, marketing authorization from the FDA or other regulatory agencies, foreign or domestic, cannot be guaranteed and may take longer than planned. This grant funding is non-dilutive to our stockholders, and we believe it validates the important nature of its mission and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scope of work for the BARDA contract includes preclinical, clinical and manufacturing development activities that fall into the following areas: non-clinical efficacy studies; clinical activities; manufacturing activities; and all associated regulatory, quality assurance, management, and administrative activities. Under the terms of the contract, we must complete specific tasks required in three discrete work segments: (i) expanded proof-of-concept (POC) clinical study; (ii) algorithm training clinical study; and (iii) device validation clinical study.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BARDA contract is a cost-plus-fixed fee contract. That is, we are entitled to receive reimbursement for all costs incurred in accordance with the contract provisions that advance the development of DeepView System portable optical imaging device and machine learning algorithm to classify burn would healing potential in mass casualty an conventional burn injuries, plus a fixed fee. The BARDA contract requires us to provide reporting deliverables that include monthly technical and annual reports and a final report. BARDA will make periodic assessments of progress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continuation of the contract is based on our performance, the timeliness and quality of deliverables, and other factors. Under the terms of the BARDA contract, the U.S. government has the right to terminate the contract for convenience or to terminate for default if we fail to meet our obligations as set forth in the contract.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own the intellectual property rights to inventions made in the performance of work under the BARDA contract, provided that we disclose such inventions to the U.S. government and notify the U.S. government of our election to retain title. The U.S. government will have a nonexclusive, nontransferable, irrevocable, paid-up license to practice, or have practiced for or on its behalf, such inventions throughout the world, in addition to other rights customarily reserved by the U.S. government for intellectual property generated using government funds.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Defense Health Agency (DHA)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23, 2021, we were awarded a $1.1 million, Sequential Phase II STTR contract by the DHA within the U.S. Department of Defense, which is paid to us on a monthly basis. This funding enables us to research and develop a fully portable, handheld version of our DeepView solution and has been extended through the end of 2023. We were previously awarded a STTR Phase I and initial Phase II contract from the DHA. We have made considerable progress in the development of the miniaturized DeepView technology. We have developed an early scientific prototype of the DeepView technology with key optical and computing capabilities in a fully handheld, portable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our current contract with DHA, the Company is required to provide monthly reports and one final technical report at the end of the contract term. The Company is allowed to advance the development of the research from this contract with the FDA, provided the Company shares all communication, both formal and informal, to or from FDA regarding the technology being developed under this contract with the DHA and its representatives are permitted to participate in any sponsor meetings both formal and informal with the FDA upon request. In addition, the Company is entitled to maintain ownership of the inventions generated from the contract in accordance with the terms contained in the DHA award.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own the intellectual property rights to inventions made in the performance of work under the DHA contract, provided that we disclose such inventions to the U.S. government and notify the U.S. government of our election to retain title. The U.S. government will have a nonexclusive, nontransferable, irrevocable, paid-up license to practice, or have practiced for or on its behalf, such inventions throughout the world, in addition to other rights customarily reserved by the U.S. government for intellectual property generated using government funds.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MTEC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15, 2020, we entered into a Research Project Award agreement (the “MTEC Agreement”) with the Advanced Technology International as Consortium Manager for MTEC, a 501(c)(3) biomedical technology consortium working in partnership with the Department of Defense. In April 2023, we received a grant of approximately $4.0 million for the purpose of designing and developing a handheld device that will be capable of performing digital burn assessment in military and combat environments. The MTEC Agreement extends the DHA Sequential Phase II STTR contract for the development of the handheld device of the DeepView System. Under the terms of the MTEC Agreement, MTEC will pay us a firm fixed fee based upon our achievement of certain milestones described in the agreement through April 5, 2025. The milestone payment schedule is based on a three phased approach to the development of our handheld device. Phase 1 of the MTEC Agreement began in April 2023 and extended through the third quarter of 2023 and focused on the planning, design and testing of the handheld device for its intended applications. Phase 1 had a funding budget of $1,170,000. We are now in Phase 2, which is intended to run through October 2024 and encompasses the development, design modification and build-out of the handheld device to the U.S. government standards as identified in the design and commercialization plans for the device. Phase 2 has a funding budget of $1,558,000. Phase 3 of the MTEC Agreement addresses the complete manufacturing of the device, the process validation of the production and completion of up to thirty handheld devices. Phase 3 begins following completion of Phase 2 and is intended to run through April 2024 with a funding budget of approximately $1,272,000. The MTEC Agreement includes general provisions regarding the provision of “government purpose rights” and “unlimited data rights” to the US Government relating to the results and intellectual property of the materials included in the contract award in which the Company has explicitly retained all of the intellectual property rights relating to the ownership of the intellectual property associated with the contract.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Commercialization and Revenue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pursue the complete development of our DeepView System and, if marketing authorization is obtained, to commercialize it on our own, or potentially with a partner, in the United States and other regions. We currently have no sales, marketing or commercial product distribution capabilities and have no experience as a company commercializing products. However, if necessary, we intend to hire appropriately to build the necessary infrastructure and capabilities over time for the United States, and potentially other regions, following further advancement of our DeepView System. See “Risk Factors — </w:t>
      </w:r>
      <w:r>
        <w:rPr>
          <w:rFonts w:ascii="Times New Roman PS Std;serif" w:hAnsi="Times New Roman PS Std;serif"/>
          <w:b w:val="false"/>
          <w:i/>
          <w:caps w:val="false"/>
          <w:smallCaps w:val="false"/>
          <w:sz w:val="20"/>
        </w:rPr>
        <w:t xml:space="preserve">If we are unable to establish sales, marketing and distribution capabilities either on our own or in collaboration with third parties, we may not be successful in commercializing our DeepView System, if approved” </w:t>
      </w:r>
      <w:r>
        <w:rPr>
          <w:rFonts w:ascii="Times New Roman PS Std;serif" w:hAnsi="Times New Roman PS Std;serif"/>
          <w:b w:val="false"/>
          <w:i w:val="false"/>
          <w:caps w:val="false"/>
          <w:smallCaps w:val="false"/>
          <w:sz w:val="20"/>
        </w:rPr>
        <w:t>for further details.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our receipt of the necessary regulatory marketing authorization, we intend to market our DeepView System using a sales force to inpatient and outpatient sites of care throughout the United States. Podiatry practices are typically the first line of specialty care for DFUs in the United States, but vascular and cardiology groups and outpatient wound centers also treat wounds. Sales will initially target podiatry practices presiding in areas with high prevalence of diabetes such as the south and southeastern areas of the United States. We will also target large hospital systems with outpatient wound care centers as they serve a large volume of DFU patients. As noted above, subject to our receipt of the necessary regulatory marketing authorization, our business is expected to have two revenue streams, a SaaS model component predicated on utilizing the regulatory method, SaMD (software as a medical device), and an imaging device component. The SaaS component will feature a software licensing fee that includes maintenance, image hosting, and access to algorithm updates. The capital sale component will be competitively priced for acceptance into independent practices and clinics.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internally market the DeepView System to U.S. customers. The sales team will consist of sales executives, clinical education and technical field engineer to service the account and technology as well as having sales and relationship responsibility for their respective geographies. For the burn indication, the primary customer base will be emergency departments located in approximately 5,400 federal and community hospitals throughout the United States. Subject to our receipt of the necessary marketing authorization, commercial sales are expected to commence in 2024 for the DFU indication in the UK and in 2025 for burns indication, although the burn indication is expected to continue to attract considerable government funding through BARDA, having recently elected to enter Option 1B and Option 2 of our existing contract, which extends the term through July 2024, if not supplemented or revised beforehand.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first to market applications of the DeepView System, Burn and DFU will deliver a paradigm shift from how the current standard of care treatment is provided. Like any disruptive technology it will require a coordinated and well executed plan to have a successful DeepView product launch. There are four critical milestones that need harmonious alignment: regulatory approval, clinical evidence, reimbursement, and adoption. These four milestones may have different timelines per country or clinical indication; however, all are required for seamless execution.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Regulatory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the regulatory changes implemented post Brexit, we were able to obtain a UKCA mark in September 2023 for the DeepView Imaging System, and plan to submit to receive a UKCA mark for its AI-Burn software since both are classified as a Class I device in the United Kingdom. For the majority of developed countries, the AI is a medical device classified as Class II and comes with an increased evaluation and a minimum timeline of six months for regulatory review. In the United States, we expect that the DeepView System will be granted market authorization via a de novo application due to the novel indications for use in non-healing burn wound assessment previously estimated by the BDD status. We expect to submit the AI®-DFU software De Novo application to the FDA in 2024. The new MDR requirements to obtain a CE mark are extensive. As such, we expect to submit our application for a CE mark in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Clinical Evidence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the DeepView System receives the necessary regulatory marketing authorization, each country with a national reimbursement payer system will require additional post-approval clinical evidence with their population and processes to show the patient outcomes utilizing this new technology and the health economic impact. This clinical evidence is an important step towards developing key opinion leaders and establishing reimbursement.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Reimbursement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utilize our post-market clinical evidence and health economic impact analysis to submit to NHS for reimbursement for its Burn indication in the United Kingdom. Upon more market penetration, we will apply for NICE certification. In the United States, we expect the DeepView System will be used in both inpatient and outpatient site of service. The process of reimbursement varies greatly between the two. The DeepView burn indication will be used inpatient both in EDs and Burn Centers and we expect that it will be reimbursed as an expense under the existing nationwide Diagnosis Related Group (“DRG”) codes for burns. We plan to apply for Centers for Medicare &amp; Medicaid Services (“CMS”) New Technology Add-On Payment (“NTAP”) as our BDD status already fulfills CMS’ requirement for demonstrating substantial clinical improvement. NTAP is a payment mechanism that is tied to burn diagnosis codes and allows additional payment to the site of service that diagnoses the patient. This will be a positive impact for our burn application in the ED setting. The DeepView DFU indication will utilize existing CPT codes while gaining the clinical evidence to apply for a unique CPT. The reimbursement for the DFU indication could vary regionally and from CMS to private payers.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view our DeepView technology as disruptive by nature and there will be those who will want to “wait and see.” This emphasizes the importance of having the right strategic partnerships, institutions, and physician key opinion leaders as early adopters. We plan to engage in relationships that can act as key opinion leaders to share their experience on why they adopted the DeepView technology. The adoption will be supported by a team of field clinical educators and digital marketing campaigns.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Manufacturing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outsource all of our manufacturing through an original equipment manufacturer. Cobalt, located in Plano, Texas, is involved with manufacturing the current generation DeepView System and we anticipate that they will continue to do so for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Cobalt, we integrate several other highly specialized contract manufacturers in the areas of optics, technology design, and electronics. We employ experienced regulatory and quality control personnel to ensure that our manufacturing processes and quality management systems are in compliance with FDA and CE Mark regulations and standards. As we expand into the European market, we will most likely consider manufacturing devices in the EU in preparation for commercialization. We do not have any plans to develop our own manufacturing facility at this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strive to protect and enhance the proprietary technologies that we believe are important to our business by seeking patents to cover our technology. We also rely on trade secrets to protect aspects of our business that are not amenable to, or that we do not consider appropriate for, patent protection. Our success will depend significantly on our ability to obtain and maintain patent and trade secret protection for our technology, our ability to defend and enforce our intellectual property rights and our ability to operate without infringing any valid and enforceable intellectual property rights of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technology is protected with issued and/or allowed patents across nine families of active patents: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Burn/Wound Classification on MSI and PPG;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Tissue classification on MSI and PPG;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Amputation site analysis on MSI, ML and healthcare matrix;</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DFU healing potential prediction and wound assessment on MSI, ML and healthcare matrix;</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High-precision, multi-aperture, MSI snapshot imaging;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Wound assessment based on MSI;</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Burn/histology assessment based on MSI and ML;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High-precision, single-aperture MSI snapshot imaging;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Topological characterization and assessment of tissues using MSI and ML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have 10 issued and allowed U.S. patents with 5 U.S. patent applications pending. We have 10 issued and allowed international patents with 29 foreign and international patent applications pending.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material owned and pending patent applications, their identification number, a description, the type of patent protection, jurisdiction, and expiration date are included in the table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Issued U.S. Patents</w:t>
      </w:r>
    </w:p>
    <w:tbl>
      <w:tblPr>
        <w:tblW w:w="10205" w:type="dxa"/>
        <w:jc w:val="left"/>
        <w:tblInd w:w="0" w:type="dxa"/>
        <w:tblLayout w:type="fixed"/>
        <w:tblCellMar>
          <w:top w:w="0" w:type="dxa"/>
          <w:left w:w="0" w:type="dxa"/>
          <w:bottom w:w="0" w:type="dxa"/>
          <w:right w:w="0" w:type="dxa"/>
        </w:tblCellMar>
      </w:tblPr>
      <w:tblGrid>
        <w:gridCol w:w="1118"/>
        <w:gridCol w:w="146"/>
        <w:gridCol w:w="4115"/>
        <w:gridCol w:w="146"/>
        <w:gridCol w:w="1302"/>
        <w:gridCol w:w="146"/>
        <w:gridCol w:w="1426"/>
        <w:gridCol w:w="146"/>
        <w:gridCol w:w="1660"/>
      </w:tblGrid>
      <w:tr>
        <w:trPr/>
        <w:tc>
          <w:tcPr>
            <w:tcW w:w="11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Patent No.</w:t>
            </w:r>
          </w:p>
        </w:tc>
        <w:tc>
          <w:tcPr>
            <w:tcW w:w="146" w:type="dxa"/>
            <w:tcBorders/>
            <w:vAlign w:val="bottom"/>
          </w:tcPr>
          <w:p>
            <w:pPr>
              <w:pStyle w:val="TableContents"/>
              <w:bidi w:val="0"/>
              <w:spacing w:before="0" w:after="283"/>
              <w:jc w:val="left"/>
              <w:rPr/>
            </w:pPr>
            <w:r>
              <w:rPr/>
              <w:t> </w:t>
            </w:r>
          </w:p>
        </w:tc>
        <w:tc>
          <w:tcPr>
            <w:tcW w:w="411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130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Type of Patent </w:t>
              <w:br/>
              <w:t>Protection</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Jurisdiction</w:t>
            </w:r>
          </w:p>
        </w:tc>
        <w:tc>
          <w:tcPr>
            <w:tcW w:w="146" w:type="dxa"/>
            <w:tcBorders/>
            <w:vAlign w:val="bottom"/>
          </w:tcPr>
          <w:p>
            <w:pPr>
              <w:pStyle w:val="TableContents"/>
              <w:bidi w:val="0"/>
              <w:spacing w:before="0" w:after="283"/>
              <w:jc w:val="left"/>
              <w:rPr/>
            </w:pPr>
            <w:r>
              <w:rPr/>
              <w:t> </w:t>
            </w:r>
          </w:p>
        </w:tc>
        <w:tc>
          <w:tcPr>
            <w:tcW w:w="166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r>
          </w:p>
        </w:tc>
      </w:tr>
      <w:tr>
        <w:trPr/>
        <w:tc>
          <w:tcPr>
            <w:tcW w:w="1118"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11,304,604</w:t>
            </w:r>
          </w:p>
        </w:tc>
        <w:tc>
          <w:tcPr>
            <w:tcW w:w="146" w:type="dxa"/>
            <w:tcBorders/>
            <w:shd w:fill="CCEEFF" w:val="clear"/>
          </w:tcPr>
          <w:p>
            <w:pPr>
              <w:pStyle w:val="TableContents"/>
              <w:bidi w:val="0"/>
              <w:spacing w:before="0" w:after="283"/>
              <w:jc w:val="left"/>
              <w:rPr/>
            </w:pPr>
            <w:r>
              <w:rPr/>
              <w:t> </w:t>
            </w:r>
          </w:p>
        </w:tc>
        <w:tc>
          <w:tcPr>
            <w:tcW w:w="41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Burn/wound classification based on combined MSI and (PPG)</w:t>
            </w:r>
          </w:p>
        </w:tc>
        <w:tc>
          <w:tcPr>
            <w:tcW w:w="146" w:type="dxa"/>
            <w:tcBorders/>
            <w:shd w:fill="CCEEFF" w:val="clear"/>
            <w:vAlign w:val="bottom"/>
          </w:tcPr>
          <w:p>
            <w:pPr>
              <w:pStyle w:val="TableContents"/>
              <w:bidi w:val="0"/>
              <w:spacing w:before="0" w:after="283"/>
              <w:jc w:val="left"/>
              <w:rPr/>
            </w:pPr>
            <w:r>
              <w:rPr/>
              <w:t> </w:t>
            </w:r>
          </w:p>
        </w:tc>
        <w:tc>
          <w:tcPr>
            <w:tcW w:w="1302"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tcPr>
          <w:p>
            <w:pPr>
              <w:pStyle w:val="TableContents"/>
              <w:bidi w:val="0"/>
              <w:spacing w:before="0" w:after="283"/>
              <w:jc w:val="left"/>
              <w:rPr/>
            </w:pPr>
            <w:r>
              <w:rPr/>
              <w:t> </w:t>
            </w:r>
          </w:p>
        </w:tc>
        <w:tc>
          <w:tcPr>
            <w:tcW w:w="166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23, 2039</w:t>
            </w:r>
          </w:p>
        </w:tc>
      </w:tr>
      <w:tr>
        <w:trPr/>
        <w:tc>
          <w:tcPr>
            <w:tcW w:w="1118"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9,717,417</w:t>
            </w:r>
          </w:p>
        </w:tc>
        <w:tc>
          <w:tcPr>
            <w:tcW w:w="146" w:type="dxa"/>
            <w:tcBorders/>
          </w:tcPr>
          <w:p>
            <w:pPr>
              <w:pStyle w:val="TableContents"/>
              <w:bidi w:val="0"/>
              <w:spacing w:before="0" w:after="283"/>
              <w:jc w:val="left"/>
              <w:rPr/>
            </w:pPr>
            <w:r>
              <w:rPr/>
              <w:t> </w:t>
            </w:r>
          </w:p>
        </w:tc>
        <w:tc>
          <w:tcPr>
            <w:tcW w:w="4115" w:type="dxa"/>
            <w:tcBorders/>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Tissue classification based on combined MSI and PPG</w:t>
            </w:r>
          </w:p>
        </w:tc>
        <w:tc>
          <w:tcPr>
            <w:tcW w:w="146" w:type="dxa"/>
            <w:tcBorders/>
            <w:vAlign w:val="bottom"/>
          </w:tcPr>
          <w:p>
            <w:pPr>
              <w:pStyle w:val="TableContents"/>
              <w:bidi w:val="0"/>
              <w:spacing w:before="0" w:after="283"/>
              <w:jc w:val="left"/>
              <w:rPr/>
            </w:pPr>
            <w:r>
              <w:rPr/>
              <w:t> </w:t>
            </w:r>
          </w:p>
        </w:tc>
        <w:tc>
          <w:tcPr>
            <w:tcW w:w="13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42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tcPr>
          <w:p>
            <w:pPr>
              <w:pStyle w:val="TableContents"/>
              <w:bidi w:val="0"/>
              <w:spacing w:before="0" w:after="283"/>
              <w:jc w:val="left"/>
              <w:rPr/>
            </w:pPr>
            <w:r>
              <w:rPr/>
              <w:t> </w:t>
            </w:r>
          </w:p>
        </w:tc>
        <w:tc>
          <w:tcPr>
            <w:tcW w:w="1660"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2035</w:t>
            </w:r>
          </w:p>
        </w:tc>
      </w:tr>
      <w:tr>
        <w:trPr/>
        <w:tc>
          <w:tcPr>
            <w:tcW w:w="1118"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9,962,090</w:t>
            </w:r>
          </w:p>
        </w:tc>
        <w:tc>
          <w:tcPr>
            <w:tcW w:w="146" w:type="dxa"/>
            <w:tcBorders/>
            <w:shd w:fill="CCEEFF" w:val="clear"/>
          </w:tcPr>
          <w:p>
            <w:pPr>
              <w:pStyle w:val="TableContents"/>
              <w:bidi w:val="0"/>
              <w:spacing w:before="0" w:after="283"/>
              <w:jc w:val="left"/>
              <w:rPr/>
            </w:pPr>
            <w:r>
              <w:rPr/>
              <w:t> </w:t>
            </w:r>
          </w:p>
        </w:tc>
        <w:tc>
          <w:tcPr>
            <w:tcW w:w="4115" w:type="dxa"/>
            <w:tcBorders/>
            <w:shd w:fill="CCEEFF" w:val="clear"/>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Tissue classification based on combined MSI and PPG</w:t>
            </w:r>
          </w:p>
        </w:tc>
        <w:tc>
          <w:tcPr>
            <w:tcW w:w="146" w:type="dxa"/>
            <w:tcBorders/>
            <w:shd w:fill="CCEEFF" w:val="clear"/>
            <w:vAlign w:val="bottom"/>
          </w:tcPr>
          <w:p>
            <w:pPr>
              <w:pStyle w:val="TableContents"/>
              <w:bidi w:val="0"/>
              <w:spacing w:before="0" w:after="283"/>
              <w:jc w:val="left"/>
              <w:rPr/>
            </w:pPr>
            <w:r>
              <w:rPr/>
              <w:t> </w:t>
            </w:r>
          </w:p>
        </w:tc>
        <w:tc>
          <w:tcPr>
            <w:tcW w:w="1302"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tcPr>
          <w:p>
            <w:pPr>
              <w:pStyle w:val="TableContents"/>
              <w:bidi w:val="0"/>
              <w:spacing w:before="0" w:after="283"/>
              <w:jc w:val="left"/>
              <w:rPr/>
            </w:pPr>
            <w:r>
              <w:rPr/>
              <w:t> </w:t>
            </w:r>
          </w:p>
        </w:tc>
        <w:tc>
          <w:tcPr>
            <w:tcW w:w="1660"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2035</w:t>
            </w:r>
          </w:p>
        </w:tc>
      </w:tr>
      <w:tr>
        <w:trPr/>
        <w:tc>
          <w:tcPr>
            <w:tcW w:w="1118"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10,750,992</w:t>
            </w:r>
          </w:p>
        </w:tc>
        <w:tc>
          <w:tcPr>
            <w:tcW w:w="146" w:type="dxa"/>
            <w:tcBorders/>
          </w:tcPr>
          <w:p>
            <w:pPr>
              <w:pStyle w:val="TableContents"/>
              <w:bidi w:val="0"/>
              <w:spacing w:before="0" w:after="283"/>
              <w:jc w:val="left"/>
              <w:rPr/>
            </w:pPr>
            <w:r>
              <w:rPr/>
              <w:t> </w:t>
            </w:r>
          </w:p>
        </w:tc>
        <w:tc>
          <w:tcPr>
            <w:tcW w:w="4115" w:type="dxa"/>
            <w:tcBorders/>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Amputation site analysis and tissue classification based on MSI, machine learning, and healthcare metrics</w:t>
            </w:r>
          </w:p>
        </w:tc>
        <w:tc>
          <w:tcPr>
            <w:tcW w:w="146" w:type="dxa"/>
            <w:tcBorders/>
            <w:vAlign w:val="bottom"/>
          </w:tcPr>
          <w:p>
            <w:pPr>
              <w:pStyle w:val="TableContents"/>
              <w:bidi w:val="0"/>
              <w:spacing w:before="0" w:after="283"/>
              <w:jc w:val="left"/>
              <w:rPr/>
            </w:pPr>
            <w:r>
              <w:rPr/>
              <w:t> </w:t>
            </w:r>
          </w:p>
        </w:tc>
        <w:tc>
          <w:tcPr>
            <w:tcW w:w="13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42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tcPr>
          <w:p>
            <w:pPr>
              <w:pStyle w:val="TableContents"/>
              <w:bidi w:val="0"/>
              <w:spacing w:before="0" w:after="283"/>
              <w:jc w:val="left"/>
              <w:rPr/>
            </w:pPr>
            <w:r>
              <w:rPr/>
              <w:t> </w:t>
            </w:r>
          </w:p>
        </w:tc>
        <w:tc>
          <w:tcPr>
            <w:tcW w:w="1660"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 2038</w:t>
            </w:r>
          </w:p>
        </w:tc>
      </w:tr>
      <w:tr>
        <w:trPr/>
        <w:tc>
          <w:tcPr>
            <w:tcW w:w="1118"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11,337,643</w:t>
            </w:r>
          </w:p>
        </w:tc>
        <w:tc>
          <w:tcPr>
            <w:tcW w:w="146" w:type="dxa"/>
            <w:tcBorders/>
            <w:shd w:fill="CCEEFF" w:val="clear"/>
          </w:tcPr>
          <w:p>
            <w:pPr>
              <w:pStyle w:val="TableContents"/>
              <w:bidi w:val="0"/>
              <w:spacing w:before="0" w:after="283"/>
              <w:jc w:val="left"/>
              <w:rPr/>
            </w:pPr>
            <w:r>
              <w:rPr/>
              <w:t> </w:t>
            </w:r>
          </w:p>
        </w:tc>
        <w:tc>
          <w:tcPr>
            <w:tcW w:w="4115" w:type="dxa"/>
            <w:tcBorders/>
            <w:shd w:fill="CCEEFF" w:val="clear"/>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Amputation site analysis and tissue classification based on MSI, machine learning, and healthcare metrics</w:t>
            </w:r>
          </w:p>
        </w:tc>
        <w:tc>
          <w:tcPr>
            <w:tcW w:w="146" w:type="dxa"/>
            <w:tcBorders/>
            <w:shd w:fill="CCEEFF" w:val="clear"/>
            <w:vAlign w:val="bottom"/>
          </w:tcPr>
          <w:p>
            <w:pPr>
              <w:pStyle w:val="TableContents"/>
              <w:bidi w:val="0"/>
              <w:spacing w:before="0" w:after="283"/>
              <w:jc w:val="left"/>
              <w:rPr/>
            </w:pPr>
            <w:r>
              <w:rPr/>
              <w:t> </w:t>
            </w:r>
          </w:p>
        </w:tc>
        <w:tc>
          <w:tcPr>
            <w:tcW w:w="1302"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tcPr>
          <w:p>
            <w:pPr>
              <w:pStyle w:val="TableContents"/>
              <w:bidi w:val="0"/>
              <w:spacing w:before="0" w:after="283"/>
              <w:jc w:val="left"/>
              <w:rPr/>
            </w:pPr>
            <w:r>
              <w:rPr/>
              <w:t> </w:t>
            </w:r>
          </w:p>
        </w:tc>
        <w:tc>
          <w:tcPr>
            <w:tcW w:w="1660"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 2038</w:t>
            </w:r>
          </w:p>
        </w:tc>
      </w:tr>
      <w:tr>
        <w:trPr/>
        <w:tc>
          <w:tcPr>
            <w:tcW w:w="1118"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10,740,884</w:t>
            </w:r>
          </w:p>
        </w:tc>
        <w:tc>
          <w:tcPr>
            <w:tcW w:w="146" w:type="dxa"/>
            <w:tcBorders/>
          </w:tcPr>
          <w:p>
            <w:pPr>
              <w:pStyle w:val="TableContents"/>
              <w:bidi w:val="0"/>
              <w:spacing w:before="0" w:after="283"/>
              <w:jc w:val="left"/>
              <w:rPr/>
            </w:pPr>
            <w:r>
              <w:rPr/>
              <w:t> </w:t>
            </w:r>
          </w:p>
        </w:tc>
        <w:tc>
          <w:tcPr>
            <w:tcW w:w="4115" w:type="dxa"/>
            <w:tcBorders/>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multi-aperture, MSI snapshot imaging</w:t>
            </w:r>
          </w:p>
        </w:tc>
        <w:tc>
          <w:tcPr>
            <w:tcW w:w="146" w:type="dxa"/>
            <w:tcBorders/>
            <w:vAlign w:val="bottom"/>
          </w:tcPr>
          <w:p>
            <w:pPr>
              <w:pStyle w:val="TableContents"/>
              <w:bidi w:val="0"/>
              <w:spacing w:before="0" w:after="283"/>
              <w:jc w:val="left"/>
              <w:rPr/>
            </w:pPr>
            <w:r>
              <w:rPr/>
              <w:t> </w:t>
            </w:r>
          </w:p>
        </w:tc>
        <w:tc>
          <w:tcPr>
            <w:tcW w:w="13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42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tcPr>
          <w:p>
            <w:pPr>
              <w:pStyle w:val="TableContents"/>
              <w:bidi w:val="0"/>
              <w:spacing w:before="0" w:after="283"/>
              <w:jc w:val="left"/>
              <w:rPr/>
            </w:pPr>
            <w:r>
              <w:rPr/>
              <w:t> </w:t>
            </w:r>
          </w:p>
        </w:tc>
        <w:tc>
          <w:tcPr>
            <w:tcW w:w="1660"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11, 2039</w:t>
            </w:r>
          </w:p>
        </w:tc>
      </w:tr>
      <w:tr>
        <w:trPr/>
        <w:tc>
          <w:tcPr>
            <w:tcW w:w="1118"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11,182,888</w:t>
            </w:r>
          </w:p>
        </w:tc>
        <w:tc>
          <w:tcPr>
            <w:tcW w:w="146" w:type="dxa"/>
            <w:tcBorders/>
            <w:shd w:fill="CCEEFF" w:val="clear"/>
          </w:tcPr>
          <w:p>
            <w:pPr>
              <w:pStyle w:val="TableContents"/>
              <w:bidi w:val="0"/>
              <w:spacing w:before="0" w:after="283"/>
              <w:jc w:val="left"/>
              <w:rPr/>
            </w:pPr>
            <w:r>
              <w:rPr/>
              <w:t> </w:t>
            </w:r>
          </w:p>
        </w:tc>
        <w:tc>
          <w:tcPr>
            <w:tcW w:w="4115" w:type="dxa"/>
            <w:tcBorders/>
            <w:shd w:fill="CCEEFF" w:val="clear"/>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multi-aperture, MSI snapshot imaging</w:t>
            </w:r>
          </w:p>
        </w:tc>
        <w:tc>
          <w:tcPr>
            <w:tcW w:w="146" w:type="dxa"/>
            <w:tcBorders/>
            <w:shd w:fill="CCEEFF" w:val="clear"/>
            <w:vAlign w:val="bottom"/>
          </w:tcPr>
          <w:p>
            <w:pPr>
              <w:pStyle w:val="TableContents"/>
              <w:bidi w:val="0"/>
              <w:spacing w:before="0" w:after="283"/>
              <w:jc w:val="left"/>
              <w:rPr/>
            </w:pPr>
            <w:r>
              <w:rPr/>
              <w:t> </w:t>
            </w:r>
          </w:p>
        </w:tc>
        <w:tc>
          <w:tcPr>
            <w:tcW w:w="1302"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tcPr>
          <w:p>
            <w:pPr>
              <w:pStyle w:val="TableContents"/>
              <w:bidi w:val="0"/>
              <w:spacing w:before="0" w:after="283"/>
              <w:jc w:val="left"/>
              <w:rPr/>
            </w:pPr>
            <w:r>
              <w:rPr/>
              <w:t> </w:t>
            </w:r>
          </w:p>
        </w:tc>
        <w:tc>
          <w:tcPr>
            <w:tcW w:w="1660"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11, 2039</w:t>
            </w:r>
          </w:p>
        </w:tc>
      </w:tr>
      <w:tr>
        <w:trPr/>
        <w:tc>
          <w:tcPr>
            <w:tcW w:w="1118"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11,631,164</w:t>
            </w:r>
          </w:p>
        </w:tc>
        <w:tc>
          <w:tcPr>
            <w:tcW w:w="146" w:type="dxa"/>
            <w:tcBorders/>
          </w:tcPr>
          <w:p>
            <w:pPr>
              <w:pStyle w:val="TableContents"/>
              <w:bidi w:val="0"/>
              <w:spacing w:before="0" w:after="283"/>
              <w:jc w:val="left"/>
              <w:rPr/>
            </w:pPr>
            <w:r>
              <w:rPr/>
              <w:t> </w:t>
            </w:r>
          </w:p>
        </w:tc>
        <w:tc>
          <w:tcPr>
            <w:tcW w:w="4115" w:type="dxa"/>
            <w:tcBorders/>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multi-aperture, MSI snapshot imaging</w:t>
            </w:r>
          </w:p>
        </w:tc>
        <w:tc>
          <w:tcPr>
            <w:tcW w:w="146" w:type="dxa"/>
            <w:tcBorders/>
            <w:vAlign w:val="bottom"/>
          </w:tcPr>
          <w:p>
            <w:pPr>
              <w:pStyle w:val="TableContents"/>
              <w:bidi w:val="0"/>
              <w:spacing w:before="0" w:after="283"/>
              <w:jc w:val="left"/>
              <w:rPr/>
            </w:pPr>
            <w:r>
              <w:rPr/>
              <w:t> </w:t>
            </w:r>
          </w:p>
        </w:tc>
        <w:tc>
          <w:tcPr>
            <w:tcW w:w="13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42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tcPr>
          <w:p>
            <w:pPr>
              <w:pStyle w:val="TableContents"/>
              <w:bidi w:val="0"/>
              <w:spacing w:before="0" w:after="283"/>
              <w:jc w:val="left"/>
              <w:rPr/>
            </w:pPr>
            <w:r>
              <w:rPr/>
              <w:t> </w:t>
            </w:r>
          </w:p>
        </w:tc>
        <w:tc>
          <w:tcPr>
            <w:tcW w:w="1660"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11, 2039</w:t>
            </w:r>
          </w:p>
        </w:tc>
      </w:tr>
      <w:tr>
        <w:trPr/>
        <w:tc>
          <w:tcPr>
            <w:tcW w:w="1118"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10,783,632</w:t>
            </w:r>
          </w:p>
        </w:tc>
        <w:tc>
          <w:tcPr>
            <w:tcW w:w="146" w:type="dxa"/>
            <w:tcBorders/>
            <w:shd w:fill="CCEEFF" w:val="clear"/>
          </w:tcPr>
          <w:p>
            <w:pPr>
              <w:pStyle w:val="TableContents"/>
              <w:bidi w:val="0"/>
              <w:spacing w:before="0" w:after="283"/>
              <w:jc w:val="left"/>
              <w:rPr/>
            </w:pPr>
            <w:r>
              <w:rPr/>
              <w:t> </w:t>
            </w:r>
          </w:p>
        </w:tc>
        <w:tc>
          <w:tcPr>
            <w:tcW w:w="4115" w:type="dxa"/>
            <w:tcBorders/>
            <w:shd w:fill="CCEEFF" w:val="clear"/>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DFU healing potential prediction and wound assessment based on MSI, machine learning, and healthcare metrics</w:t>
            </w:r>
          </w:p>
        </w:tc>
        <w:tc>
          <w:tcPr>
            <w:tcW w:w="146" w:type="dxa"/>
            <w:tcBorders/>
            <w:shd w:fill="CCEEFF" w:val="clear"/>
            <w:vAlign w:val="bottom"/>
          </w:tcPr>
          <w:p>
            <w:pPr>
              <w:pStyle w:val="TableContents"/>
              <w:bidi w:val="0"/>
              <w:spacing w:before="0" w:after="283"/>
              <w:jc w:val="left"/>
              <w:rPr/>
            </w:pPr>
            <w:r>
              <w:rPr/>
              <w:t> </w:t>
            </w:r>
          </w:p>
        </w:tc>
        <w:tc>
          <w:tcPr>
            <w:tcW w:w="1302"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tcPr>
          <w:p>
            <w:pPr>
              <w:pStyle w:val="TableContents"/>
              <w:bidi w:val="0"/>
              <w:spacing w:before="0" w:after="283"/>
              <w:jc w:val="left"/>
              <w:rPr/>
            </w:pPr>
            <w:r>
              <w:rPr/>
              <w:t> </w:t>
            </w:r>
          </w:p>
        </w:tc>
        <w:tc>
          <w:tcPr>
            <w:tcW w:w="1660"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11, 2039</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Pending U.S. Patent Applications</w:t>
      </w:r>
    </w:p>
    <w:tbl>
      <w:tblPr>
        <w:tblW w:w="10205" w:type="dxa"/>
        <w:jc w:val="left"/>
        <w:tblInd w:w="0" w:type="dxa"/>
        <w:tblLayout w:type="fixed"/>
        <w:tblCellMar>
          <w:top w:w="0" w:type="dxa"/>
          <w:left w:w="0" w:type="dxa"/>
          <w:bottom w:w="0" w:type="dxa"/>
          <w:right w:w="0" w:type="dxa"/>
        </w:tblCellMar>
      </w:tblPr>
      <w:tblGrid>
        <w:gridCol w:w="1741"/>
        <w:gridCol w:w="146"/>
        <w:gridCol w:w="5196"/>
        <w:gridCol w:w="146"/>
        <w:gridCol w:w="1358"/>
        <w:gridCol w:w="146"/>
        <w:gridCol w:w="1472"/>
      </w:tblGrid>
      <w:tr>
        <w:trPr/>
        <w:tc>
          <w:tcPr>
            <w:tcW w:w="17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Application No.</w:t>
            </w:r>
          </w:p>
        </w:tc>
        <w:tc>
          <w:tcPr>
            <w:tcW w:w="146" w:type="dxa"/>
            <w:tcBorders/>
            <w:vAlign w:val="bottom"/>
          </w:tcPr>
          <w:p>
            <w:pPr>
              <w:pStyle w:val="TableContents"/>
              <w:bidi w:val="0"/>
              <w:spacing w:before="0" w:after="283"/>
              <w:jc w:val="left"/>
              <w:rPr/>
            </w:pPr>
            <w:r>
              <w:rPr/>
              <w:t> </w:t>
            </w:r>
          </w:p>
        </w:tc>
        <w:tc>
          <w:tcPr>
            <w:tcW w:w="51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135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Type of Patent </w:t>
              <w:br/>
              <w:t>Protection</w:t>
            </w:r>
          </w:p>
        </w:tc>
        <w:tc>
          <w:tcPr>
            <w:tcW w:w="146" w:type="dxa"/>
            <w:tcBorders/>
            <w:vAlign w:val="bottom"/>
          </w:tcPr>
          <w:p>
            <w:pPr>
              <w:pStyle w:val="TableContents"/>
              <w:bidi w:val="0"/>
              <w:spacing w:before="0" w:after="283"/>
              <w:jc w:val="left"/>
              <w:rPr/>
            </w:pPr>
            <w:r>
              <w:rPr/>
              <w:t> </w:t>
            </w:r>
          </w:p>
        </w:tc>
        <w:tc>
          <w:tcPr>
            <w:tcW w:w="147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Jurisdiction</w:t>
            </w:r>
          </w:p>
        </w:tc>
      </w:tr>
      <w:tr>
        <w:trPr/>
        <w:tc>
          <w:tcPr>
            <w:tcW w:w="17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17/585,346</w:t>
            </w:r>
          </w:p>
        </w:tc>
        <w:tc>
          <w:tcPr>
            <w:tcW w:w="146" w:type="dxa"/>
            <w:tcBorders/>
            <w:shd w:fill="CCEEFF" w:val="clear"/>
          </w:tcPr>
          <w:p>
            <w:pPr>
              <w:pStyle w:val="TableContents"/>
              <w:bidi w:val="0"/>
              <w:spacing w:before="0" w:after="283"/>
              <w:jc w:val="left"/>
              <w:rPr/>
            </w:pPr>
            <w:r>
              <w:rPr/>
              <w:t> </w:t>
            </w:r>
          </w:p>
        </w:tc>
        <w:tc>
          <w:tcPr>
            <w:tcW w:w="5196"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Tissue classification based on combined MSI and PPG</w:t>
            </w:r>
          </w:p>
        </w:tc>
        <w:tc>
          <w:tcPr>
            <w:tcW w:w="146" w:type="dxa"/>
            <w:tcBorders/>
            <w:shd w:fill="CCEEFF" w:val="clear"/>
          </w:tcPr>
          <w:p>
            <w:pPr>
              <w:pStyle w:val="TableContents"/>
              <w:bidi w:val="0"/>
              <w:spacing w:before="0" w:after="283"/>
              <w:jc w:val="left"/>
              <w:rPr/>
            </w:pPr>
            <w:r>
              <w:rPr/>
              <w:t> </w:t>
            </w:r>
          </w:p>
        </w:tc>
        <w:tc>
          <w:tcPr>
            <w:tcW w:w="1358"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472"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r>
      <w:tr>
        <w:trPr/>
        <w:tc>
          <w:tcPr>
            <w:tcW w:w="1741"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18/178,875</w:t>
            </w:r>
          </w:p>
        </w:tc>
        <w:tc>
          <w:tcPr>
            <w:tcW w:w="146" w:type="dxa"/>
            <w:tcBorders/>
          </w:tcPr>
          <w:p>
            <w:pPr>
              <w:pStyle w:val="TableContents"/>
              <w:bidi w:val="0"/>
              <w:spacing w:before="0" w:after="283"/>
              <w:jc w:val="left"/>
              <w:rPr/>
            </w:pPr>
            <w:r>
              <w:rPr/>
              <w:t> </w:t>
            </w:r>
          </w:p>
        </w:tc>
        <w:tc>
          <w:tcPr>
            <w:tcW w:w="5196"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multi-aperture, MSI snapshot imaging</w:t>
            </w:r>
          </w:p>
        </w:tc>
        <w:tc>
          <w:tcPr>
            <w:tcW w:w="146" w:type="dxa"/>
            <w:tcBorders/>
          </w:tcPr>
          <w:p>
            <w:pPr>
              <w:pStyle w:val="TableContents"/>
              <w:bidi w:val="0"/>
              <w:spacing w:before="0" w:after="283"/>
              <w:jc w:val="left"/>
              <w:rPr/>
            </w:pPr>
            <w:r>
              <w:rPr/>
              <w:t> </w:t>
            </w:r>
          </w:p>
        </w:tc>
        <w:tc>
          <w:tcPr>
            <w:tcW w:w="135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47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r>
      <w:tr>
        <w:trPr/>
        <w:tc>
          <w:tcPr>
            <w:tcW w:w="1741"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18/177,493</w:t>
            </w:r>
          </w:p>
        </w:tc>
        <w:tc>
          <w:tcPr>
            <w:tcW w:w="146" w:type="dxa"/>
            <w:tcBorders/>
            <w:shd w:fill="CCEEFF" w:val="clear"/>
          </w:tcPr>
          <w:p>
            <w:pPr>
              <w:pStyle w:val="TableContents"/>
              <w:bidi w:val="0"/>
              <w:spacing w:before="0" w:after="283"/>
              <w:jc w:val="left"/>
              <w:rPr/>
            </w:pPr>
            <w:r>
              <w:rPr/>
              <w:t> </w:t>
            </w:r>
          </w:p>
        </w:tc>
        <w:tc>
          <w:tcPr>
            <w:tcW w:w="5196"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DFU healing potential prediction and wound assessment based on MSI, machine learning, and healthcare metrics</w:t>
            </w:r>
          </w:p>
        </w:tc>
        <w:tc>
          <w:tcPr>
            <w:tcW w:w="146" w:type="dxa"/>
            <w:tcBorders/>
            <w:shd w:fill="CCEEFF" w:val="clear"/>
          </w:tcPr>
          <w:p>
            <w:pPr>
              <w:pStyle w:val="TableContents"/>
              <w:bidi w:val="0"/>
              <w:spacing w:before="0" w:after="283"/>
              <w:jc w:val="left"/>
              <w:rPr/>
            </w:pPr>
            <w:r>
              <w:rPr/>
              <w:t> </w:t>
            </w:r>
          </w:p>
        </w:tc>
        <w:tc>
          <w:tcPr>
            <w:tcW w:w="135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472"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r>
      <w:tr>
        <w:trPr/>
        <w:tc>
          <w:tcPr>
            <w:tcW w:w="1741"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17/820,837</w:t>
            </w:r>
          </w:p>
        </w:tc>
        <w:tc>
          <w:tcPr>
            <w:tcW w:w="146" w:type="dxa"/>
            <w:tcBorders/>
          </w:tcPr>
          <w:p>
            <w:pPr>
              <w:pStyle w:val="TableContents"/>
              <w:bidi w:val="0"/>
              <w:spacing w:before="0" w:after="283"/>
              <w:jc w:val="left"/>
              <w:rPr/>
            </w:pPr>
            <w:r>
              <w:rPr/>
              <w:t> </w:t>
            </w:r>
          </w:p>
        </w:tc>
        <w:tc>
          <w:tcPr>
            <w:tcW w:w="5196"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Wound assessment based on MSI, optical biomarkers, and machine learning</w:t>
            </w:r>
          </w:p>
        </w:tc>
        <w:tc>
          <w:tcPr>
            <w:tcW w:w="146" w:type="dxa"/>
            <w:tcBorders/>
          </w:tcPr>
          <w:p>
            <w:pPr>
              <w:pStyle w:val="TableContents"/>
              <w:bidi w:val="0"/>
              <w:spacing w:before="0" w:after="283"/>
              <w:jc w:val="left"/>
              <w:rPr/>
            </w:pPr>
            <w:r>
              <w:rPr/>
              <w:t> </w:t>
            </w:r>
          </w:p>
        </w:tc>
        <w:tc>
          <w:tcPr>
            <w:tcW w:w="135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47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r>
      <w:tr>
        <w:trPr/>
        <w:tc>
          <w:tcPr>
            <w:tcW w:w="1741"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18/152,654</w:t>
            </w:r>
          </w:p>
        </w:tc>
        <w:tc>
          <w:tcPr>
            <w:tcW w:w="146" w:type="dxa"/>
            <w:tcBorders/>
            <w:shd w:fill="CCEEFF" w:val="clear"/>
          </w:tcPr>
          <w:p>
            <w:pPr>
              <w:pStyle w:val="TableContents"/>
              <w:bidi w:val="0"/>
              <w:spacing w:before="0" w:after="283"/>
              <w:jc w:val="left"/>
              <w:rPr/>
            </w:pPr>
            <w:r>
              <w:rPr/>
              <w:t> </w:t>
            </w:r>
          </w:p>
        </w:tc>
        <w:tc>
          <w:tcPr>
            <w:tcW w:w="5196"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Burn/histology assessment based on MSI and machine learning</w:t>
            </w:r>
          </w:p>
        </w:tc>
        <w:tc>
          <w:tcPr>
            <w:tcW w:w="146" w:type="dxa"/>
            <w:tcBorders/>
            <w:shd w:fill="CCEEFF" w:val="clear"/>
          </w:tcPr>
          <w:p>
            <w:pPr>
              <w:pStyle w:val="TableContents"/>
              <w:bidi w:val="0"/>
              <w:spacing w:before="0" w:after="283"/>
              <w:jc w:val="left"/>
              <w:rPr/>
            </w:pPr>
            <w:r>
              <w:rPr/>
              <w:t> </w:t>
            </w:r>
          </w:p>
        </w:tc>
        <w:tc>
          <w:tcPr>
            <w:tcW w:w="135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472"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Issued Foreign Patents</w:t>
      </w:r>
    </w:p>
    <w:tbl>
      <w:tblPr>
        <w:tblW w:w="10205" w:type="dxa"/>
        <w:jc w:val="left"/>
        <w:tblInd w:w="0" w:type="dxa"/>
        <w:tblLayout w:type="fixed"/>
        <w:tblCellMar>
          <w:top w:w="0" w:type="dxa"/>
          <w:left w:w="0" w:type="dxa"/>
          <w:bottom w:w="0" w:type="dxa"/>
          <w:right w:w="0" w:type="dxa"/>
        </w:tblCellMar>
      </w:tblPr>
      <w:tblGrid>
        <w:gridCol w:w="1871"/>
        <w:gridCol w:w="146"/>
        <w:gridCol w:w="3654"/>
        <w:gridCol w:w="146"/>
        <w:gridCol w:w="1410"/>
        <w:gridCol w:w="146"/>
        <w:gridCol w:w="1325"/>
        <w:gridCol w:w="146"/>
        <w:gridCol w:w="1361"/>
      </w:tblGrid>
      <w:tr>
        <w:trPr/>
        <w:tc>
          <w:tcPr>
            <w:tcW w:w="18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Patent No.</w:t>
            </w:r>
          </w:p>
        </w:tc>
        <w:tc>
          <w:tcPr>
            <w:tcW w:w="146" w:type="dxa"/>
            <w:tcBorders/>
            <w:vAlign w:val="bottom"/>
          </w:tcPr>
          <w:p>
            <w:pPr>
              <w:pStyle w:val="TableContents"/>
              <w:bidi w:val="0"/>
              <w:spacing w:before="0" w:after="283"/>
              <w:jc w:val="left"/>
              <w:rPr/>
            </w:pPr>
            <w:r>
              <w:rPr/>
              <w:t> </w:t>
            </w:r>
          </w:p>
        </w:tc>
        <w:tc>
          <w:tcPr>
            <w:tcW w:w="365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141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Type of Patent Protection</w:t>
            </w:r>
          </w:p>
        </w:tc>
        <w:tc>
          <w:tcPr>
            <w:tcW w:w="146"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Jurisdiction</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r>
          </w:p>
        </w:tc>
      </w:tr>
      <w:tr>
        <w:trPr/>
        <w:tc>
          <w:tcPr>
            <w:tcW w:w="187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ZL201580070907.8</w:t>
            </w:r>
          </w:p>
        </w:tc>
        <w:tc>
          <w:tcPr>
            <w:tcW w:w="146" w:type="dxa"/>
            <w:tcBorders/>
            <w:shd w:fill="CCEEFF" w:val="clear"/>
          </w:tcPr>
          <w:p>
            <w:pPr>
              <w:pStyle w:val="TableContents"/>
              <w:bidi w:val="0"/>
              <w:spacing w:before="0" w:after="283"/>
              <w:jc w:val="left"/>
              <w:rPr/>
            </w:pPr>
            <w:r>
              <w:rPr/>
              <w:t> </w:t>
            </w:r>
          </w:p>
        </w:tc>
        <w:tc>
          <w:tcPr>
            <w:tcW w:w="3654"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Burn/wound classification based on combined multi-spectral imaging (MSI) and photoplethysmography (PPG)</w:t>
            </w:r>
          </w:p>
        </w:tc>
        <w:tc>
          <w:tcPr>
            <w:tcW w:w="146" w:type="dxa"/>
            <w:tcBorders/>
            <w:shd w:fill="CCEEFF" w:val="clear"/>
          </w:tcPr>
          <w:p>
            <w:pPr>
              <w:pStyle w:val="TableContents"/>
              <w:bidi w:val="0"/>
              <w:spacing w:before="0" w:after="283"/>
              <w:jc w:val="left"/>
              <w:rPr/>
            </w:pPr>
            <w:r>
              <w:rPr/>
              <w:t> </w:t>
            </w:r>
          </w:p>
        </w:tc>
        <w:tc>
          <w:tcPr>
            <w:tcW w:w="141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325"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c>
          <w:tcPr>
            <w:tcW w:w="146" w:type="dxa"/>
            <w:tcBorders/>
            <w:shd w:fill="CCEEFF" w:val="clear"/>
          </w:tcPr>
          <w:p>
            <w:pPr>
              <w:pStyle w:val="TableContents"/>
              <w:bidi w:val="0"/>
              <w:spacing w:before="0" w:after="283"/>
              <w:jc w:val="left"/>
              <w:rPr/>
            </w:pPr>
            <w:r>
              <w:rPr/>
              <w:t> </w:t>
            </w:r>
          </w:p>
        </w:tc>
        <w:tc>
          <w:tcPr>
            <w:tcW w:w="13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2035</w:t>
            </w:r>
          </w:p>
        </w:tc>
      </w:tr>
      <w:tr>
        <w:trPr/>
        <w:tc>
          <w:tcPr>
            <w:tcW w:w="1871"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3212057</w:t>
            </w:r>
          </w:p>
        </w:tc>
        <w:tc>
          <w:tcPr>
            <w:tcW w:w="146" w:type="dxa"/>
            <w:tcBorders/>
          </w:tcPr>
          <w:p>
            <w:pPr>
              <w:pStyle w:val="TableContents"/>
              <w:bidi w:val="0"/>
              <w:spacing w:before="0" w:after="283"/>
              <w:jc w:val="left"/>
              <w:rPr/>
            </w:pPr>
            <w:r>
              <w:rPr/>
              <w:t> </w:t>
            </w:r>
          </w:p>
        </w:tc>
        <w:tc>
          <w:tcPr>
            <w:tcW w:w="3654"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Burn/wound classification based on combined multi-spectral imaging (MSI) and photoplethysmography (PPG)</w:t>
            </w:r>
          </w:p>
        </w:tc>
        <w:tc>
          <w:tcPr>
            <w:tcW w:w="146" w:type="dxa"/>
            <w:tcBorders/>
          </w:tcPr>
          <w:p>
            <w:pPr>
              <w:pStyle w:val="TableContents"/>
              <w:bidi w:val="0"/>
              <w:spacing w:before="0" w:after="283"/>
              <w:jc w:val="left"/>
              <w:rPr/>
            </w:pPr>
            <w:r>
              <w:rPr/>
              <w:t> </w:t>
            </w:r>
          </w:p>
        </w:tc>
        <w:tc>
          <w:tcPr>
            <w:tcW w:w="141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32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tcPr>
          <w:p>
            <w:pPr>
              <w:pStyle w:val="TableContents"/>
              <w:bidi w:val="0"/>
              <w:spacing w:before="0" w:after="283"/>
              <w:jc w:val="left"/>
              <w:rPr/>
            </w:pPr>
            <w:r>
              <w:rPr/>
              <w:t> </w:t>
            </w:r>
          </w:p>
        </w:tc>
        <w:tc>
          <w:tcPr>
            <w:tcW w:w="13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2035</w:t>
            </w:r>
          </w:p>
        </w:tc>
      </w:tr>
      <w:tr>
        <w:trPr/>
        <w:tc>
          <w:tcPr>
            <w:tcW w:w="1871"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3212057</w:t>
            </w:r>
          </w:p>
        </w:tc>
        <w:tc>
          <w:tcPr>
            <w:tcW w:w="146" w:type="dxa"/>
            <w:tcBorders/>
            <w:shd w:fill="CCEEFF" w:val="clear"/>
          </w:tcPr>
          <w:p>
            <w:pPr>
              <w:pStyle w:val="TableContents"/>
              <w:bidi w:val="0"/>
              <w:spacing w:before="0" w:after="283"/>
              <w:jc w:val="left"/>
              <w:rPr/>
            </w:pPr>
            <w:r>
              <w:rPr/>
              <w:t> </w:t>
            </w:r>
          </w:p>
        </w:tc>
        <w:tc>
          <w:tcPr>
            <w:tcW w:w="3654"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Burn/wound classification based on combined multi-spectral imaging (MSI) and photoplethysmography (PPG)</w:t>
            </w:r>
          </w:p>
        </w:tc>
        <w:tc>
          <w:tcPr>
            <w:tcW w:w="146" w:type="dxa"/>
            <w:tcBorders/>
            <w:shd w:fill="CCEEFF" w:val="clear"/>
          </w:tcPr>
          <w:p>
            <w:pPr>
              <w:pStyle w:val="TableContents"/>
              <w:bidi w:val="0"/>
              <w:spacing w:before="0" w:after="283"/>
              <w:jc w:val="left"/>
              <w:rPr/>
            </w:pPr>
            <w:r>
              <w:rPr/>
              <w:t> </w:t>
            </w:r>
          </w:p>
        </w:tc>
        <w:tc>
          <w:tcPr>
            <w:tcW w:w="141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325"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Belgium</w:t>
            </w:r>
          </w:p>
        </w:tc>
        <w:tc>
          <w:tcPr>
            <w:tcW w:w="146" w:type="dxa"/>
            <w:tcBorders/>
            <w:shd w:fill="CCEEFF" w:val="clear"/>
          </w:tcPr>
          <w:p>
            <w:pPr>
              <w:pStyle w:val="TableContents"/>
              <w:bidi w:val="0"/>
              <w:spacing w:before="0" w:after="283"/>
              <w:jc w:val="left"/>
              <w:rPr/>
            </w:pPr>
            <w:r>
              <w:rPr/>
              <w:t> </w:t>
            </w:r>
          </w:p>
        </w:tc>
        <w:tc>
          <w:tcPr>
            <w:tcW w:w="13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2035</w:t>
            </w:r>
          </w:p>
        </w:tc>
      </w:tr>
      <w:tr>
        <w:trPr/>
        <w:tc>
          <w:tcPr>
            <w:tcW w:w="1871"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3212057</w:t>
            </w:r>
          </w:p>
        </w:tc>
        <w:tc>
          <w:tcPr>
            <w:tcW w:w="146" w:type="dxa"/>
            <w:tcBorders/>
          </w:tcPr>
          <w:p>
            <w:pPr>
              <w:pStyle w:val="TableContents"/>
              <w:bidi w:val="0"/>
              <w:spacing w:before="0" w:after="283"/>
              <w:jc w:val="left"/>
              <w:rPr/>
            </w:pPr>
            <w:r>
              <w:rPr/>
              <w:t> </w:t>
            </w:r>
          </w:p>
        </w:tc>
        <w:tc>
          <w:tcPr>
            <w:tcW w:w="3654"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Burn/wound classification based on combined multi-spectral imaging (MSI) and photoplethysmography (PPG)</w:t>
            </w:r>
          </w:p>
        </w:tc>
        <w:tc>
          <w:tcPr>
            <w:tcW w:w="146" w:type="dxa"/>
            <w:tcBorders/>
          </w:tcPr>
          <w:p>
            <w:pPr>
              <w:pStyle w:val="TableContents"/>
              <w:bidi w:val="0"/>
              <w:spacing w:before="0" w:after="283"/>
              <w:jc w:val="left"/>
              <w:rPr/>
            </w:pPr>
            <w:r>
              <w:rPr/>
              <w:t> </w:t>
            </w:r>
          </w:p>
        </w:tc>
        <w:tc>
          <w:tcPr>
            <w:tcW w:w="141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32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tcPr>
          <w:p>
            <w:pPr>
              <w:pStyle w:val="TableContents"/>
              <w:bidi w:val="0"/>
              <w:spacing w:before="0" w:after="283"/>
              <w:jc w:val="left"/>
              <w:rPr/>
            </w:pPr>
            <w:r>
              <w:rPr/>
              <w:t> </w:t>
            </w:r>
          </w:p>
        </w:tc>
        <w:tc>
          <w:tcPr>
            <w:tcW w:w="13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2035</w:t>
            </w:r>
          </w:p>
        </w:tc>
      </w:tr>
      <w:tr>
        <w:trPr/>
        <w:tc>
          <w:tcPr>
            <w:tcW w:w="1871"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3212057</w:t>
            </w:r>
          </w:p>
        </w:tc>
        <w:tc>
          <w:tcPr>
            <w:tcW w:w="146" w:type="dxa"/>
            <w:tcBorders/>
            <w:shd w:fill="CCEEFF" w:val="clear"/>
          </w:tcPr>
          <w:p>
            <w:pPr>
              <w:pStyle w:val="TableContents"/>
              <w:bidi w:val="0"/>
              <w:spacing w:before="0" w:after="283"/>
              <w:jc w:val="left"/>
              <w:rPr/>
            </w:pPr>
            <w:r>
              <w:rPr/>
              <w:t> </w:t>
            </w:r>
          </w:p>
        </w:tc>
        <w:tc>
          <w:tcPr>
            <w:tcW w:w="3654"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Burn/wound classification based on combined multi-spectral imaging (MSI) and photoplethysmography (PPG)</w:t>
            </w:r>
          </w:p>
        </w:tc>
        <w:tc>
          <w:tcPr>
            <w:tcW w:w="146" w:type="dxa"/>
            <w:tcBorders/>
            <w:shd w:fill="CCEEFF" w:val="clear"/>
          </w:tcPr>
          <w:p>
            <w:pPr>
              <w:pStyle w:val="TableContents"/>
              <w:bidi w:val="0"/>
              <w:spacing w:before="0" w:after="283"/>
              <w:jc w:val="left"/>
              <w:rPr/>
            </w:pPr>
            <w:r>
              <w:rPr/>
              <w:t> </w:t>
            </w:r>
          </w:p>
        </w:tc>
        <w:tc>
          <w:tcPr>
            <w:tcW w:w="141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325"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CCEEFF" w:val="clear"/>
          </w:tcPr>
          <w:p>
            <w:pPr>
              <w:pStyle w:val="TableContents"/>
              <w:bidi w:val="0"/>
              <w:spacing w:before="0" w:after="283"/>
              <w:jc w:val="left"/>
              <w:rPr/>
            </w:pPr>
            <w:r>
              <w:rPr/>
              <w:t> </w:t>
            </w:r>
          </w:p>
        </w:tc>
        <w:tc>
          <w:tcPr>
            <w:tcW w:w="13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2035</w:t>
            </w:r>
          </w:p>
        </w:tc>
      </w:tr>
      <w:tr>
        <w:trPr/>
        <w:tc>
          <w:tcPr>
            <w:tcW w:w="1871"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3212057</w:t>
            </w:r>
          </w:p>
        </w:tc>
        <w:tc>
          <w:tcPr>
            <w:tcW w:w="146" w:type="dxa"/>
            <w:tcBorders/>
          </w:tcPr>
          <w:p>
            <w:pPr>
              <w:pStyle w:val="TableContents"/>
              <w:bidi w:val="0"/>
              <w:spacing w:before="0" w:after="283"/>
              <w:jc w:val="left"/>
              <w:rPr/>
            </w:pPr>
            <w:r>
              <w:rPr/>
              <w:t> </w:t>
            </w:r>
          </w:p>
        </w:tc>
        <w:tc>
          <w:tcPr>
            <w:tcW w:w="3654"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Burn/wound classification based on combined multi-spectral imaging (MSI) and photoplethysmography (PPG)</w:t>
            </w:r>
          </w:p>
        </w:tc>
        <w:tc>
          <w:tcPr>
            <w:tcW w:w="146" w:type="dxa"/>
            <w:tcBorders/>
          </w:tcPr>
          <w:p>
            <w:pPr>
              <w:pStyle w:val="TableContents"/>
              <w:bidi w:val="0"/>
              <w:spacing w:before="0" w:after="283"/>
              <w:jc w:val="left"/>
              <w:rPr/>
            </w:pPr>
            <w:r>
              <w:rPr/>
              <w:t> </w:t>
            </w:r>
          </w:p>
        </w:tc>
        <w:tc>
          <w:tcPr>
            <w:tcW w:w="141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32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tcPr>
          <w:p>
            <w:pPr>
              <w:pStyle w:val="TableContents"/>
              <w:bidi w:val="0"/>
              <w:spacing w:before="0" w:after="283"/>
              <w:jc w:val="left"/>
              <w:rPr/>
            </w:pPr>
            <w:r>
              <w:rPr/>
              <w:t> </w:t>
            </w:r>
          </w:p>
        </w:tc>
        <w:tc>
          <w:tcPr>
            <w:tcW w:w="13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2035</w:t>
            </w:r>
          </w:p>
        </w:tc>
      </w:tr>
      <w:tr>
        <w:trPr/>
        <w:tc>
          <w:tcPr>
            <w:tcW w:w="1871"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6893877</w:t>
            </w:r>
          </w:p>
        </w:tc>
        <w:tc>
          <w:tcPr>
            <w:tcW w:w="146" w:type="dxa"/>
            <w:tcBorders/>
            <w:shd w:fill="CCEEFF" w:val="clear"/>
          </w:tcPr>
          <w:p>
            <w:pPr>
              <w:pStyle w:val="TableContents"/>
              <w:bidi w:val="0"/>
              <w:spacing w:before="0" w:after="283"/>
              <w:jc w:val="left"/>
              <w:rPr/>
            </w:pPr>
            <w:r>
              <w:rPr/>
              <w:t> </w:t>
            </w:r>
          </w:p>
        </w:tc>
        <w:tc>
          <w:tcPr>
            <w:tcW w:w="3654"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Burn/wound classification based on combined multi-spectral imaging (MSI) and photoplethysmography (PPG)</w:t>
            </w:r>
          </w:p>
        </w:tc>
        <w:tc>
          <w:tcPr>
            <w:tcW w:w="146" w:type="dxa"/>
            <w:tcBorders/>
            <w:shd w:fill="CCEEFF" w:val="clear"/>
          </w:tcPr>
          <w:p>
            <w:pPr>
              <w:pStyle w:val="TableContents"/>
              <w:bidi w:val="0"/>
              <w:spacing w:before="0" w:after="283"/>
              <w:jc w:val="left"/>
              <w:rPr/>
            </w:pPr>
            <w:r>
              <w:rPr/>
              <w:t> </w:t>
            </w:r>
          </w:p>
        </w:tc>
        <w:tc>
          <w:tcPr>
            <w:tcW w:w="141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325"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shd w:fill="CCEEFF" w:val="clear"/>
          </w:tcPr>
          <w:p>
            <w:pPr>
              <w:pStyle w:val="TableContents"/>
              <w:bidi w:val="0"/>
              <w:spacing w:before="0" w:after="283"/>
              <w:jc w:val="left"/>
              <w:rPr/>
            </w:pPr>
            <w:r>
              <w:rPr/>
              <w:t> </w:t>
            </w:r>
          </w:p>
        </w:tc>
        <w:tc>
          <w:tcPr>
            <w:tcW w:w="13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2035</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850"/>
        <w:gridCol w:w="146"/>
        <w:gridCol w:w="3014"/>
        <w:gridCol w:w="146"/>
        <w:gridCol w:w="1771"/>
        <w:gridCol w:w="146"/>
        <w:gridCol w:w="1261"/>
        <w:gridCol w:w="146"/>
        <w:gridCol w:w="1725"/>
      </w:tblGrid>
      <w:tr>
        <w:trPr/>
        <w:tc>
          <w:tcPr>
            <w:tcW w:w="185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Patent No.</w:t>
            </w:r>
          </w:p>
        </w:tc>
        <w:tc>
          <w:tcPr>
            <w:tcW w:w="146" w:type="dxa"/>
            <w:tcBorders/>
            <w:vAlign w:val="bottom"/>
          </w:tcPr>
          <w:p>
            <w:pPr>
              <w:pStyle w:val="TableContents"/>
              <w:bidi w:val="0"/>
              <w:spacing w:before="0" w:after="283"/>
              <w:jc w:val="left"/>
              <w:rPr/>
            </w:pPr>
            <w:r>
              <w:rPr/>
              <w:t> </w:t>
            </w:r>
          </w:p>
        </w:tc>
        <w:tc>
          <w:tcPr>
            <w:tcW w:w="301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Type of Patent Protection</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Jurisdiction</w:t>
            </w:r>
          </w:p>
        </w:tc>
        <w:tc>
          <w:tcPr>
            <w:tcW w:w="146" w:type="dxa"/>
            <w:tcBorders/>
            <w:vAlign w:val="bottom"/>
          </w:tcPr>
          <w:p>
            <w:pPr>
              <w:pStyle w:val="TableContents"/>
              <w:bidi w:val="0"/>
              <w:spacing w:before="0" w:after="283"/>
              <w:jc w:val="left"/>
              <w:rPr/>
            </w:pPr>
            <w:r>
              <w:rPr/>
              <w:t> </w:t>
            </w:r>
          </w:p>
        </w:tc>
        <w:tc>
          <w:tcPr>
            <w:tcW w:w="17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w:t>
            </w:r>
          </w:p>
        </w:tc>
      </w:tr>
      <w:tr>
        <w:trPr/>
        <w:tc>
          <w:tcPr>
            <w:tcW w:w="1850"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ZL201680076887.X</w:t>
            </w:r>
          </w:p>
        </w:tc>
        <w:tc>
          <w:tcPr>
            <w:tcW w:w="146" w:type="dxa"/>
            <w:tcBorders/>
            <w:shd w:fill="CCEEFF" w:val="clear"/>
          </w:tcPr>
          <w:p>
            <w:pPr>
              <w:pStyle w:val="TableContents"/>
              <w:bidi w:val="0"/>
              <w:spacing w:before="0" w:after="283"/>
              <w:jc w:val="left"/>
              <w:rPr/>
            </w:pPr>
            <w:r>
              <w:rPr/>
              <w:t> </w:t>
            </w:r>
          </w:p>
        </w:tc>
        <w:tc>
          <w:tcPr>
            <w:tcW w:w="3014"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Tissue classification based on combined MSI and PPG</w:t>
            </w:r>
          </w:p>
        </w:tc>
        <w:tc>
          <w:tcPr>
            <w:tcW w:w="146" w:type="dxa"/>
            <w:tcBorders/>
            <w:shd w:fill="CCEEFF" w:val="clear"/>
          </w:tcPr>
          <w:p>
            <w:pPr>
              <w:pStyle w:val="TableContents"/>
              <w:bidi w:val="0"/>
              <w:spacing w:before="0" w:after="283"/>
              <w:jc w:val="left"/>
              <w:rPr/>
            </w:pPr>
            <w:r>
              <w:rPr/>
              <w:t> </w:t>
            </w:r>
          </w:p>
        </w:tc>
        <w:tc>
          <w:tcPr>
            <w:tcW w:w="177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2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c>
          <w:tcPr>
            <w:tcW w:w="146" w:type="dxa"/>
            <w:tcBorders/>
            <w:shd w:fill="CCEEFF" w:val="clear"/>
          </w:tcPr>
          <w:p>
            <w:pPr>
              <w:pStyle w:val="TableContents"/>
              <w:bidi w:val="0"/>
              <w:spacing w:before="0" w:after="283"/>
              <w:jc w:val="left"/>
              <w:rPr/>
            </w:pPr>
            <w:r>
              <w:rPr/>
              <w:t> </w:t>
            </w:r>
          </w:p>
        </w:tc>
        <w:tc>
          <w:tcPr>
            <w:tcW w:w="1725"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28, 2036</w:t>
            </w:r>
          </w:p>
        </w:tc>
      </w:tr>
      <w:tr>
        <w:trPr/>
        <w:tc>
          <w:tcPr>
            <w:tcW w:w="1850"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6785307</w:t>
            </w:r>
          </w:p>
        </w:tc>
        <w:tc>
          <w:tcPr>
            <w:tcW w:w="146" w:type="dxa"/>
            <w:tcBorders/>
          </w:tcPr>
          <w:p>
            <w:pPr>
              <w:pStyle w:val="TableContents"/>
              <w:bidi w:val="0"/>
              <w:spacing w:before="0" w:after="283"/>
              <w:jc w:val="left"/>
              <w:rPr/>
            </w:pPr>
            <w:r>
              <w:rPr/>
              <w:t> </w:t>
            </w:r>
          </w:p>
        </w:tc>
        <w:tc>
          <w:tcPr>
            <w:tcW w:w="3014"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Tissue classification based on combined MSI and PPG</w:t>
            </w:r>
          </w:p>
        </w:tc>
        <w:tc>
          <w:tcPr>
            <w:tcW w:w="146" w:type="dxa"/>
            <w:tcBorders/>
          </w:tcPr>
          <w:p>
            <w:pPr>
              <w:pStyle w:val="TableContents"/>
              <w:bidi w:val="0"/>
              <w:spacing w:before="0" w:after="283"/>
              <w:jc w:val="left"/>
              <w:rPr/>
            </w:pPr>
            <w:r>
              <w:rPr/>
              <w:t> </w:t>
            </w:r>
          </w:p>
        </w:tc>
        <w:tc>
          <w:tcPr>
            <w:tcW w:w="1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tcPr>
          <w:p>
            <w:pPr>
              <w:pStyle w:val="TableContents"/>
              <w:bidi w:val="0"/>
              <w:spacing w:before="0" w:after="283"/>
              <w:jc w:val="left"/>
              <w:rPr/>
            </w:pPr>
            <w:r>
              <w:rPr/>
              <w:t> </w:t>
            </w:r>
          </w:p>
        </w:tc>
        <w:tc>
          <w:tcPr>
            <w:tcW w:w="172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28, 2036</w:t>
            </w:r>
          </w:p>
        </w:tc>
      </w:tr>
      <w:tr>
        <w:trPr/>
        <w:tc>
          <w:tcPr>
            <w:tcW w:w="1850"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7186298</w:t>
            </w:r>
          </w:p>
        </w:tc>
        <w:tc>
          <w:tcPr>
            <w:tcW w:w="146" w:type="dxa"/>
            <w:tcBorders/>
            <w:shd w:fill="CCEEFF" w:val="clear"/>
          </w:tcPr>
          <w:p>
            <w:pPr>
              <w:pStyle w:val="TableContents"/>
              <w:bidi w:val="0"/>
              <w:spacing w:before="0" w:after="283"/>
              <w:jc w:val="left"/>
              <w:rPr/>
            </w:pPr>
            <w:r>
              <w:rPr/>
              <w:t> </w:t>
            </w:r>
          </w:p>
        </w:tc>
        <w:tc>
          <w:tcPr>
            <w:tcW w:w="3014"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multi-aperture, MSI snapshot imaging</w:t>
            </w:r>
          </w:p>
        </w:tc>
        <w:tc>
          <w:tcPr>
            <w:tcW w:w="146" w:type="dxa"/>
            <w:tcBorders/>
            <w:shd w:fill="CCEEFF" w:val="clear"/>
          </w:tcPr>
          <w:p>
            <w:pPr>
              <w:pStyle w:val="TableContents"/>
              <w:bidi w:val="0"/>
              <w:spacing w:before="0" w:after="283"/>
              <w:jc w:val="left"/>
              <w:rPr/>
            </w:pPr>
            <w:r>
              <w:rPr/>
              <w:t> </w:t>
            </w:r>
          </w:p>
        </w:tc>
        <w:tc>
          <w:tcPr>
            <w:tcW w:w="177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2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shd w:fill="CCEEFF" w:val="clear"/>
          </w:tcPr>
          <w:p>
            <w:pPr>
              <w:pStyle w:val="TableContents"/>
              <w:bidi w:val="0"/>
              <w:spacing w:before="0" w:after="283"/>
              <w:jc w:val="left"/>
              <w:rPr/>
            </w:pPr>
            <w:r>
              <w:rPr/>
              <w:t> </w:t>
            </w:r>
          </w:p>
        </w:tc>
        <w:tc>
          <w:tcPr>
            <w:tcW w:w="1725"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11, 2039</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Pending Foreign Patent Applications</w:t>
      </w:r>
    </w:p>
    <w:tbl>
      <w:tblPr>
        <w:tblW w:w="10205" w:type="dxa"/>
        <w:jc w:val="left"/>
        <w:tblInd w:w="0" w:type="dxa"/>
        <w:tblLayout w:type="fixed"/>
        <w:tblCellMar>
          <w:top w:w="0" w:type="dxa"/>
          <w:left w:w="0" w:type="dxa"/>
          <w:bottom w:w="0" w:type="dxa"/>
          <w:right w:w="0" w:type="dxa"/>
        </w:tblCellMar>
      </w:tblPr>
      <w:tblGrid>
        <w:gridCol w:w="1795"/>
        <w:gridCol w:w="146"/>
        <w:gridCol w:w="4914"/>
        <w:gridCol w:w="146"/>
        <w:gridCol w:w="1740"/>
        <w:gridCol w:w="146"/>
        <w:gridCol w:w="1318"/>
      </w:tblGrid>
      <w:tr>
        <w:trPr/>
        <w:tc>
          <w:tcPr>
            <w:tcW w:w="17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Application No.</w:t>
            </w:r>
          </w:p>
        </w:tc>
        <w:tc>
          <w:tcPr>
            <w:tcW w:w="146" w:type="dxa"/>
            <w:tcBorders/>
            <w:vAlign w:val="bottom"/>
          </w:tcPr>
          <w:p>
            <w:pPr>
              <w:pStyle w:val="TableContents"/>
              <w:bidi w:val="0"/>
              <w:spacing w:before="0" w:after="283"/>
              <w:jc w:val="left"/>
              <w:rPr/>
            </w:pPr>
            <w:r>
              <w:rPr/>
              <w:t> </w:t>
            </w:r>
          </w:p>
        </w:tc>
        <w:tc>
          <w:tcPr>
            <w:tcW w:w="491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17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Type of Patent Protection</w:t>
            </w:r>
          </w:p>
        </w:tc>
        <w:tc>
          <w:tcPr>
            <w:tcW w:w="146" w:type="dxa"/>
            <w:tcBorders/>
            <w:vAlign w:val="bottom"/>
          </w:tcPr>
          <w:p>
            <w:pPr>
              <w:pStyle w:val="TableContents"/>
              <w:bidi w:val="0"/>
              <w:spacing w:before="0" w:after="283"/>
              <w:jc w:val="left"/>
              <w:rPr/>
            </w:pPr>
            <w:r>
              <w:rPr/>
              <w:t> </w:t>
            </w:r>
          </w:p>
        </w:tc>
        <w:tc>
          <w:tcPr>
            <w:tcW w:w="131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Jurisdiction</w:t>
            </w:r>
          </w:p>
        </w:tc>
      </w:tr>
      <w:tr>
        <w:trPr/>
        <w:tc>
          <w:tcPr>
            <w:tcW w:w="1795"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16860418.9</w:t>
            </w:r>
          </w:p>
        </w:tc>
        <w:tc>
          <w:tcPr>
            <w:tcW w:w="146" w:type="dxa"/>
            <w:tcBorders/>
            <w:shd w:fill="CCEEFF" w:val="clear"/>
          </w:tcPr>
          <w:p>
            <w:pPr>
              <w:pStyle w:val="TableContents"/>
              <w:bidi w:val="0"/>
              <w:spacing w:before="0" w:after="283"/>
              <w:jc w:val="left"/>
              <w:rPr/>
            </w:pPr>
            <w:r>
              <w:rPr/>
              <w:t> </w:t>
            </w:r>
          </w:p>
        </w:tc>
        <w:tc>
          <w:tcPr>
            <w:tcW w:w="4914"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Tissue classification based on combined MSI and PPG</w:t>
            </w:r>
          </w:p>
        </w:tc>
        <w:tc>
          <w:tcPr>
            <w:tcW w:w="146" w:type="dxa"/>
            <w:tcBorders/>
            <w:shd w:fill="CCEEFF" w:val="clear"/>
          </w:tcPr>
          <w:p>
            <w:pPr>
              <w:pStyle w:val="TableContents"/>
              <w:bidi w:val="0"/>
              <w:spacing w:before="0" w:after="283"/>
              <w:jc w:val="left"/>
              <w:rPr/>
            </w:pPr>
            <w:r>
              <w:rPr/>
              <w:t> </w:t>
            </w:r>
          </w:p>
        </w:tc>
        <w:tc>
          <w:tcPr>
            <w:tcW w:w="174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318"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r>
      <w:tr>
        <w:trPr/>
        <w:tc>
          <w:tcPr>
            <w:tcW w:w="1795"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19120058.3</w:t>
            </w:r>
          </w:p>
        </w:tc>
        <w:tc>
          <w:tcPr>
            <w:tcW w:w="146" w:type="dxa"/>
            <w:tcBorders/>
          </w:tcPr>
          <w:p>
            <w:pPr>
              <w:pStyle w:val="TableContents"/>
              <w:bidi w:val="0"/>
              <w:spacing w:before="0" w:after="283"/>
              <w:jc w:val="left"/>
              <w:rPr/>
            </w:pPr>
            <w:r>
              <w:rPr/>
              <w:t> </w:t>
            </w:r>
          </w:p>
        </w:tc>
        <w:tc>
          <w:tcPr>
            <w:tcW w:w="4914"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Tissue classification based on combined MSI and PPG</w:t>
            </w:r>
          </w:p>
        </w:tc>
        <w:tc>
          <w:tcPr>
            <w:tcW w:w="146" w:type="dxa"/>
            <w:tcBorders/>
          </w:tcPr>
          <w:p>
            <w:pPr>
              <w:pStyle w:val="TableContents"/>
              <w:bidi w:val="0"/>
              <w:spacing w:before="0" w:after="283"/>
              <w:jc w:val="left"/>
              <w:rPr/>
            </w:pPr>
            <w:r>
              <w:rPr/>
              <w:t> </w:t>
            </w:r>
          </w:p>
        </w:tc>
        <w:tc>
          <w:tcPr>
            <w:tcW w:w="1740"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31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r>
      <w:tr>
        <w:trPr/>
        <w:tc>
          <w:tcPr>
            <w:tcW w:w="1795"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10-2018-7014959</w:t>
            </w:r>
          </w:p>
        </w:tc>
        <w:tc>
          <w:tcPr>
            <w:tcW w:w="146" w:type="dxa"/>
            <w:tcBorders/>
            <w:shd w:fill="CCEEFF" w:val="clear"/>
          </w:tcPr>
          <w:p>
            <w:pPr>
              <w:pStyle w:val="TableContents"/>
              <w:bidi w:val="0"/>
              <w:spacing w:before="0" w:after="283"/>
              <w:jc w:val="left"/>
              <w:rPr/>
            </w:pPr>
            <w:r>
              <w:rPr/>
              <w:t> </w:t>
            </w:r>
          </w:p>
        </w:tc>
        <w:tc>
          <w:tcPr>
            <w:tcW w:w="4914"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Tissue classification based on combined MSI and PPG</w:t>
            </w:r>
          </w:p>
        </w:tc>
        <w:tc>
          <w:tcPr>
            <w:tcW w:w="146" w:type="dxa"/>
            <w:tcBorders/>
            <w:shd w:fill="CCEEFF" w:val="clear"/>
          </w:tcPr>
          <w:p>
            <w:pPr>
              <w:pStyle w:val="TableContents"/>
              <w:bidi w:val="0"/>
              <w:spacing w:before="0" w:after="283"/>
              <w:jc w:val="left"/>
              <w:rPr/>
            </w:pPr>
            <w:r>
              <w:rPr/>
              <w:t> </w:t>
            </w:r>
          </w:p>
        </w:tc>
        <w:tc>
          <w:tcPr>
            <w:tcW w:w="1740"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31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 Korea</w:t>
            </w:r>
          </w:p>
        </w:tc>
      </w:tr>
      <w:tr>
        <w:trPr/>
        <w:tc>
          <w:tcPr>
            <w:tcW w:w="1795"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201880028365.1</w:t>
            </w:r>
          </w:p>
        </w:tc>
        <w:tc>
          <w:tcPr>
            <w:tcW w:w="146" w:type="dxa"/>
            <w:tcBorders/>
          </w:tcPr>
          <w:p>
            <w:pPr>
              <w:pStyle w:val="TableContents"/>
              <w:bidi w:val="0"/>
              <w:spacing w:before="0" w:after="283"/>
              <w:jc w:val="left"/>
              <w:rPr/>
            </w:pPr>
            <w:r>
              <w:rPr/>
              <w:t> </w:t>
            </w:r>
          </w:p>
        </w:tc>
        <w:tc>
          <w:tcPr>
            <w:tcW w:w="4914"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Amputation site analysis and tissue classification based on MSI, machine learning, and healthcare metrics</w:t>
            </w:r>
          </w:p>
        </w:tc>
        <w:tc>
          <w:tcPr>
            <w:tcW w:w="146" w:type="dxa"/>
            <w:tcBorders/>
          </w:tcPr>
          <w:p>
            <w:pPr>
              <w:pStyle w:val="TableContents"/>
              <w:bidi w:val="0"/>
              <w:spacing w:before="0" w:after="283"/>
              <w:jc w:val="left"/>
              <w:rPr/>
            </w:pPr>
            <w:r>
              <w:rPr/>
              <w:t> </w:t>
            </w:r>
          </w:p>
        </w:tc>
        <w:tc>
          <w:tcPr>
            <w:tcW w:w="1740"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31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r>
      <w:tr>
        <w:trPr/>
        <w:tc>
          <w:tcPr>
            <w:tcW w:w="1795"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18760531.6</w:t>
            </w:r>
          </w:p>
        </w:tc>
        <w:tc>
          <w:tcPr>
            <w:tcW w:w="146" w:type="dxa"/>
            <w:tcBorders/>
            <w:shd w:fill="CCEEFF" w:val="clear"/>
          </w:tcPr>
          <w:p>
            <w:pPr>
              <w:pStyle w:val="TableContents"/>
              <w:bidi w:val="0"/>
              <w:spacing w:before="0" w:after="283"/>
              <w:jc w:val="left"/>
              <w:rPr/>
            </w:pPr>
            <w:r>
              <w:rPr/>
              <w:t> </w:t>
            </w:r>
          </w:p>
        </w:tc>
        <w:tc>
          <w:tcPr>
            <w:tcW w:w="4914"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Amputation site analysis and tissue classification based on MSI, machine learning, and healthcare metrics</w:t>
            </w:r>
          </w:p>
        </w:tc>
        <w:tc>
          <w:tcPr>
            <w:tcW w:w="146" w:type="dxa"/>
            <w:tcBorders/>
            <w:shd w:fill="CCEEFF" w:val="clear"/>
          </w:tcPr>
          <w:p>
            <w:pPr>
              <w:pStyle w:val="TableContents"/>
              <w:bidi w:val="0"/>
              <w:spacing w:before="0" w:after="283"/>
              <w:jc w:val="left"/>
              <w:rPr/>
            </w:pPr>
            <w:r>
              <w:rPr/>
              <w:t> </w:t>
            </w:r>
          </w:p>
        </w:tc>
        <w:tc>
          <w:tcPr>
            <w:tcW w:w="1740"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31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r>
      <w:tr>
        <w:trPr/>
        <w:tc>
          <w:tcPr>
            <w:tcW w:w="1795"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62020010555.4</w:t>
            </w:r>
          </w:p>
        </w:tc>
        <w:tc>
          <w:tcPr>
            <w:tcW w:w="146" w:type="dxa"/>
            <w:tcBorders/>
          </w:tcPr>
          <w:p>
            <w:pPr>
              <w:pStyle w:val="TableContents"/>
              <w:bidi w:val="0"/>
              <w:spacing w:before="0" w:after="283"/>
              <w:jc w:val="left"/>
              <w:rPr/>
            </w:pPr>
            <w:r>
              <w:rPr/>
              <w:t> </w:t>
            </w:r>
          </w:p>
        </w:tc>
        <w:tc>
          <w:tcPr>
            <w:tcW w:w="4914"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Amputation site analysis and tissue classification based on MSI, machine learning, and healthcare metrics</w:t>
            </w:r>
          </w:p>
        </w:tc>
        <w:tc>
          <w:tcPr>
            <w:tcW w:w="146" w:type="dxa"/>
            <w:tcBorders/>
          </w:tcPr>
          <w:p>
            <w:pPr>
              <w:pStyle w:val="TableContents"/>
              <w:bidi w:val="0"/>
              <w:spacing w:before="0" w:after="283"/>
              <w:jc w:val="left"/>
              <w:rPr/>
            </w:pPr>
            <w:r>
              <w:rPr/>
              <w:t> </w:t>
            </w:r>
          </w:p>
        </w:tc>
        <w:tc>
          <w:tcPr>
            <w:tcW w:w="1740"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31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r>
      <w:tr>
        <w:trPr/>
        <w:tc>
          <w:tcPr>
            <w:tcW w:w="1795"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11 2021 0111131</w:t>
            </w:r>
          </w:p>
        </w:tc>
        <w:tc>
          <w:tcPr>
            <w:tcW w:w="146" w:type="dxa"/>
            <w:tcBorders/>
            <w:shd w:fill="CCEEFF" w:val="clear"/>
          </w:tcPr>
          <w:p>
            <w:pPr>
              <w:pStyle w:val="TableContents"/>
              <w:bidi w:val="0"/>
              <w:spacing w:before="0" w:after="283"/>
              <w:jc w:val="left"/>
              <w:rPr/>
            </w:pPr>
            <w:r>
              <w:rPr/>
              <w:t> </w:t>
            </w:r>
          </w:p>
        </w:tc>
        <w:tc>
          <w:tcPr>
            <w:tcW w:w="4914"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multi-aperture, MSI snapshot imaging</w:t>
            </w:r>
          </w:p>
        </w:tc>
        <w:tc>
          <w:tcPr>
            <w:tcW w:w="146" w:type="dxa"/>
            <w:tcBorders/>
            <w:shd w:fill="CCEEFF" w:val="clear"/>
          </w:tcPr>
          <w:p>
            <w:pPr>
              <w:pStyle w:val="TableContents"/>
              <w:bidi w:val="0"/>
              <w:spacing w:before="0" w:after="283"/>
              <w:jc w:val="left"/>
              <w:rPr/>
            </w:pPr>
            <w:r>
              <w:rPr/>
              <w:t> </w:t>
            </w:r>
          </w:p>
        </w:tc>
        <w:tc>
          <w:tcPr>
            <w:tcW w:w="1740"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31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Brazil</w:t>
            </w:r>
          </w:p>
        </w:tc>
      </w:tr>
      <w:tr>
        <w:trPr/>
        <w:tc>
          <w:tcPr>
            <w:tcW w:w="1795"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201980087508.0</w:t>
            </w:r>
          </w:p>
        </w:tc>
        <w:tc>
          <w:tcPr>
            <w:tcW w:w="146" w:type="dxa"/>
            <w:tcBorders/>
          </w:tcPr>
          <w:p>
            <w:pPr>
              <w:pStyle w:val="TableContents"/>
              <w:bidi w:val="0"/>
              <w:spacing w:before="0" w:after="283"/>
              <w:jc w:val="left"/>
              <w:rPr/>
            </w:pPr>
            <w:r>
              <w:rPr/>
              <w:t> </w:t>
            </w:r>
          </w:p>
        </w:tc>
        <w:tc>
          <w:tcPr>
            <w:tcW w:w="4914"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multi-aperture, MSI snapshot imaging</w:t>
            </w:r>
          </w:p>
        </w:tc>
        <w:tc>
          <w:tcPr>
            <w:tcW w:w="146" w:type="dxa"/>
            <w:tcBorders/>
          </w:tcPr>
          <w:p>
            <w:pPr>
              <w:pStyle w:val="TableContents"/>
              <w:bidi w:val="0"/>
              <w:spacing w:before="0" w:after="283"/>
              <w:jc w:val="left"/>
              <w:rPr/>
            </w:pPr>
            <w:r>
              <w:rPr/>
              <w:t> </w:t>
            </w:r>
          </w:p>
        </w:tc>
        <w:tc>
          <w:tcPr>
            <w:tcW w:w="1740"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31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r>
      <w:tr>
        <w:trPr/>
        <w:tc>
          <w:tcPr>
            <w:tcW w:w="1795"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19895125.3</w:t>
            </w:r>
          </w:p>
        </w:tc>
        <w:tc>
          <w:tcPr>
            <w:tcW w:w="146" w:type="dxa"/>
            <w:tcBorders/>
            <w:shd w:fill="CCEEFF" w:val="clear"/>
          </w:tcPr>
          <w:p>
            <w:pPr>
              <w:pStyle w:val="TableContents"/>
              <w:bidi w:val="0"/>
              <w:spacing w:before="0" w:after="283"/>
              <w:jc w:val="left"/>
              <w:rPr/>
            </w:pPr>
            <w:r>
              <w:rPr/>
              <w:t> </w:t>
            </w:r>
          </w:p>
        </w:tc>
        <w:tc>
          <w:tcPr>
            <w:tcW w:w="4914"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multi-aperture, MSI snapshot imaging</w:t>
            </w:r>
          </w:p>
        </w:tc>
        <w:tc>
          <w:tcPr>
            <w:tcW w:w="146" w:type="dxa"/>
            <w:tcBorders/>
            <w:shd w:fill="CCEEFF" w:val="clear"/>
          </w:tcPr>
          <w:p>
            <w:pPr>
              <w:pStyle w:val="TableContents"/>
              <w:bidi w:val="0"/>
              <w:spacing w:before="0" w:after="283"/>
              <w:jc w:val="left"/>
              <w:rPr/>
            </w:pPr>
            <w:r>
              <w:rPr/>
              <w:t> </w:t>
            </w:r>
          </w:p>
        </w:tc>
        <w:tc>
          <w:tcPr>
            <w:tcW w:w="1740"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31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r>
      <w:tr>
        <w:trPr/>
        <w:tc>
          <w:tcPr>
            <w:tcW w:w="1795"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202117023312</w:t>
            </w:r>
          </w:p>
        </w:tc>
        <w:tc>
          <w:tcPr>
            <w:tcW w:w="146" w:type="dxa"/>
            <w:tcBorders/>
          </w:tcPr>
          <w:p>
            <w:pPr>
              <w:pStyle w:val="TableContents"/>
              <w:bidi w:val="0"/>
              <w:spacing w:before="0" w:after="283"/>
              <w:jc w:val="left"/>
              <w:rPr/>
            </w:pPr>
            <w:r>
              <w:rPr/>
              <w:t> </w:t>
            </w:r>
          </w:p>
        </w:tc>
        <w:tc>
          <w:tcPr>
            <w:tcW w:w="4914"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multi-aperture, MSI snapshot imaging</w:t>
            </w:r>
          </w:p>
        </w:tc>
        <w:tc>
          <w:tcPr>
            <w:tcW w:w="146" w:type="dxa"/>
            <w:tcBorders/>
          </w:tcPr>
          <w:p>
            <w:pPr>
              <w:pStyle w:val="TableContents"/>
              <w:bidi w:val="0"/>
              <w:spacing w:before="0" w:after="283"/>
              <w:jc w:val="left"/>
              <w:rPr/>
            </w:pPr>
            <w:r>
              <w:rPr/>
              <w:t> </w:t>
            </w:r>
          </w:p>
        </w:tc>
        <w:tc>
          <w:tcPr>
            <w:tcW w:w="1740"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31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India</w:t>
            </w:r>
          </w:p>
        </w:tc>
      </w:tr>
      <w:tr>
        <w:trPr/>
        <w:tc>
          <w:tcPr>
            <w:tcW w:w="1795"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2022-188817</w:t>
            </w:r>
          </w:p>
        </w:tc>
        <w:tc>
          <w:tcPr>
            <w:tcW w:w="146" w:type="dxa"/>
            <w:tcBorders/>
            <w:shd w:fill="CCEEFF" w:val="clear"/>
          </w:tcPr>
          <w:p>
            <w:pPr>
              <w:pStyle w:val="TableContents"/>
              <w:bidi w:val="0"/>
              <w:spacing w:before="0" w:after="283"/>
              <w:jc w:val="left"/>
              <w:rPr/>
            </w:pPr>
            <w:r>
              <w:rPr/>
              <w:t> </w:t>
            </w:r>
          </w:p>
        </w:tc>
        <w:tc>
          <w:tcPr>
            <w:tcW w:w="4914"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multi-aperture, MSI snapshot imaging</w:t>
            </w:r>
          </w:p>
        </w:tc>
        <w:tc>
          <w:tcPr>
            <w:tcW w:w="146" w:type="dxa"/>
            <w:tcBorders/>
            <w:shd w:fill="CCEEFF" w:val="clear"/>
          </w:tcPr>
          <w:p>
            <w:pPr>
              <w:pStyle w:val="TableContents"/>
              <w:bidi w:val="0"/>
              <w:spacing w:before="0" w:after="283"/>
              <w:jc w:val="left"/>
              <w:rPr/>
            </w:pPr>
            <w:r>
              <w:rPr/>
              <w:t> </w:t>
            </w:r>
          </w:p>
        </w:tc>
        <w:tc>
          <w:tcPr>
            <w:tcW w:w="1740"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31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r>
      <w:tr>
        <w:trPr/>
        <w:tc>
          <w:tcPr>
            <w:tcW w:w="1795"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2022-188833</w:t>
            </w:r>
          </w:p>
        </w:tc>
        <w:tc>
          <w:tcPr>
            <w:tcW w:w="146" w:type="dxa"/>
            <w:tcBorders/>
          </w:tcPr>
          <w:p>
            <w:pPr>
              <w:pStyle w:val="TableContents"/>
              <w:bidi w:val="0"/>
              <w:spacing w:before="0" w:after="283"/>
              <w:jc w:val="left"/>
              <w:rPr/>
            </w:pPr>
            <w:r>
              <w:rPr/>
              <w:t> </w:t>
            </w:r>
          </w:p>
        </w:tc>
        <w:tc>
          <w:tcPr>
            <w:tcW w:w="4914"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multi-aperture, MSI snapshot imaging</w:t>
            </w:r>
          </w:p>
        </w:tc>
        <w:tc>
          <w:tcPr>
            <w:tcW w:w="146" w:type="dxa"/>
            <w:tcBorders/>
          </w:tcPr>
          <w:p>
            <w:pPr>
              <w:pStyle w:val="TableContents"/>
              <w:bidi w:val="0"/>
              <w:spacing w:before="0" w:after="283"/>
              <w:jc w:val="left"/>
              <w:rPr/>
            </w:pPr>
            <w:r>
              <w:rPr/>
              <w:t> </w:t>
            </w:r>
          </w:p>
        </w:tc>
        <w:tc>
          <w:tcPr>
            <w:tcW w:w="1740"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31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r>
      <w:tr>
        <w:trPr/>
        <w:tc>
          <w:tcPr>
            <w:tcW w:w="1795"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10-2021-7021579</w:t>
            </w:r>
          </w:p>
        </w:tc>
        <w:tc>
          <w:tcPr>
            <w:tcW w:w="146" w:type="dxa"/>
            <w:tcBorders/>
            <w:shd w:fill="CCEEFF" w:val="clear"/>
          </w:tcPr>
          <w:p>
            <w:pPr>
              <w:pStyle w:val="TableContents"/>
              <w:bidi w:val="0"/>
              <w:spacing w:before="0" w:after="283"/>
              <w:jc w:val="left"/>
              <w:rPr/>
            </w:pPr>
            <w:r>
              <w:rPr/>
              <w:t> </w:t>
            </w:r>
          </w:p>
        </w:tc>
        <w:tc>
          <w:tcPr>
            <w:tcW w:w="4914"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multi-aperture, MSI snapshot imaging</w:t>
            </w:r>
          </w:p>
        </w:tc>
        <w:tc>
          <w:tcPr>
            <w:tcW w:w="146" w:type="dxa"/>
            <w:tcBorders/>
            <w:shd w:fill="CCEEFF" w:val="clear"/>
          </w:tcPr>
          <w:p>
            <w:pPr>
              <w:pStyle w:val="TableContents"/>
              <w:bidi w:val="0"/>
              <w:spacing w:before="0" w:after="283"/>
              <w:jc w:val="left"/>
              <w:rPr/>
            </w:pPr>
            <w:r>
              <w:rPr/>
              <w:t> </w:t>
            </w:r>
          </w:p>
        </w:tc>
        <w:tc>
          <w:tcPr>
            <w:tcW w:w="1740"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31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 Korea</w:t>
            </w:r>
          </w:p>
        </w:tc>
      </w:tr>
      <w:tr>
        <w:trPr/>
        <w:tc>
          <w:tcPr>
            <w:tcW w:w="1795"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11 2021 0111328</w:t>
            </w:r>
          </w:p>
        </w:tc>
        <w:tc>
          <w:tcPr>
            <w:tcW w:w="146" w:type="dxa"/>
            <w:tcBorders/>
          </w:tcPr>
          <w:p>
            <w:pPr>
              <w:pStyle w:val="TableContents"/>
              <w:bidi w:val="0"/>
              <w:spacing w:before="0" w:after="283"/>
              <w:jc w:val="left"/>
              <w:rPr/>
            </w:pPr>
            <w:r>
              <w:rPr/>
              <w:t> </w:t>
            </w:r>
          </w:p>
        </w:tc>
        <w:tc>
          <w:tcPr>
            <w:tcW w:w="4914"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DFU healing potential prediction and wound assessment based on MSI, machine learning, healthcare metrics</w:t>
            </w:r>
          </w:p>
        </w:tc>
        <w:tc>
          <w:tcPr>
            <w:tcW w:w="146" w:type="dxa"/>
            <w:tcBorders/>
          </w:tcPr>
          <w:p>
            <w:pPr>
              <w:pStyle w:val="TableContents"/>
              <w:bidi w:val="0"/>
              <w:spacing w:before="0" w:after="283"/>
              <w:jc w:val="left"/>
              <w:rPr/>
            </w:pPr>
            <w:r>
              <w:rPr/>
              <w:t> </w:t>
            </w:r>
          </w:p>
        </w:tc>
        <w:tc>
          <w:tcPr>
            <w:tcW w:w="1740"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31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Brazil</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862"/>
        <w:gridCol w:w="146"/>
        <w:gridCol w:w="4393"/>
        <w:gridCol w:w="146"/>
        <w:gridCol w:w="1638"/>
        <w:gridCol w:w="146"/>
        <w:gridCol w:w="1874"/>
      </w:tblGrid>
      <w:tr>
        <w:trPr/>
        <w:tc>
          <w:tcPr>
            <w:tcW w:w="18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Application No.</w:t>
            </w:r>
          </w:p>
        </w:tc>
        <w:tc>
          <w:tcPr>
            <w:tcW w:w="146" w:type="dxa"/>
            <w:tcBorders/>
            <w:vAlign w:val="bottom"/>
          </w:tcPr>
          <w:p>
            <w:pPr>
              <w:pStyle w:val="TableContents"/>
              <w:bidi w:val="0"/>
              <w:spacing w:before="0" w:after="283"/>
              <w:jc w:val="left"/>
              <w:rPr/>
            </w:pPr>
            <w:r>
              <w:rPr/>
              <w:t> </w:t>
            </w:r>
          </w:p>
        </w:tc>
        <w:tc>
          <w:tcPr>
            <w:tcW w:w="439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163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Type of Patent Protection</w:t>
            </w:r>
          </w:p>
        </w:tc>
        <w:tc>
          <w:tcPr>
            <w:tcW w:w="146" w:type="dxa"/>
            <w:tcBorders/>
            <w:vAlign w:val="bottom"/>
          </w:tcPr>
          <w:p>
            <w:pPr>
              <w:pStyle w:val="TableContents"/>
              <w:bidi w:val="0"/>
              <w:spacing w:before="0" w:after="283"/>
              <w:jc w:val="left"/>
              <w:rPr/>
            </w:pPr>
            <w:r>
              <w:rPr/>
              <w:t> </w:t>
            </w:r>
          </w:p>
        </w:tc>
        <w:tc>
          <w:tcPr>
            <w:tcW w:w="187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Jurisdiction</w:t>
            </w:r>
          </w:p>
        </w:tc>
      </w:tr>
      <w:tr>
        <w:trPr/>
        <w:tc>
          <w:tcPr>
            <w:tcW w:w="1862"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201980087443.X</w:t>
            </w:r>
          </w:p>
        </w:tc>
        <w:tc>
          <w:tcPr>
            <w:tcW w:w="146" w:type="dxa"/>
            <w:tcBorders/>
            <w:shd w:fill="CCEEFF" w:val="clear"/>
          </w:tcPr>
          <w:p>
            <w:pPr>
              <w:pStyle w:val="TableContents"/>
              <w:bidi w:val="0"/>
              <w:spacing w:before="0" w:after="283"/>
              <w:jc w:val="left"/>
              <w:rPr/>
            </w:pPr>
            <w:r>
              <w:rPr/>
              <w:t> </w:t>
            </w:r>
          </w:p>
        </w:tc>
        <w:tc>
          <w:tcPr>
            <w:tcW w:w="4393"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DFU healing potential prediction and wound assessment based on MSI, machine learning, healthcare metrics</w:t>
            </w:r>
          </w:p>
        </w:tc>
        <w:tc>
          <w:tcPr>
            <w:tcW w:w="146"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874"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r>
      <w:tr>
        <w:trPr/>
        <w:tc>
          <w:tcPr>
            <w:tcW w:w="1862"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19894740.0</w:t>
            </w:r>
          </w:p>
        </w:tc>
        <w:tc>
          <w:tcPr>
            <w:tcW w:w="146" w:type="dxa"/>
            <w:tcBorders/>
          </w:tcPr>
          <w:p>
            <w:pPr>
              <w:pStyle w:val="TableContents"/>
              <w:bidi w:val="0"/>
              <w:spacing w:before="0" w:after="283"/>
              <w:jc w:val="left"/>
              <w:rPr/>
            </w:pPr>
            <w:r>
              <w:rPr/>
              <w:t> </w:t>
            </w:r>
          </w:p>
        </w:tc>
        <w:tc>
          <w:tcPr>
            <w:tcW w:w="4393"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DFU healing potential prediction and wound assessment based on MSI, machine learning, healthcare metrics</w:t>
            </w:r>
          </w:p>
        </w:tc>
        <w:tc>
          <w:tcPr>
            <w:tcW w:w="146" w:type="dxa"/>
            <w:tcBorders/>
          </w:tcPr>
          <w:p>
            <w:pPr>
              <w:pStyle w:val="TableContents"/>
              <w:bidi w:val="0"/>
              <w:spacing w:before="0" w:after="283"/>
              <w:jc w:val="left"/>
              <w:rPr/>
            </w:pPr>
            <w:r>
              <w:rPr/>
              <w:t> </w:t>
            </w:r>
          </w:p>
        </w:tc>
        <w:tc>
          <w:tcPr>
            <w:tcW w:w="163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874"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r>
      <w:tr>
        <w:trPr/>
        <w:tc>
          <w:tcPr>
            <w:tcW w:w="1862"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202117023888</w:t>
            </w:r>
          </w:p>
        </w:tc>
        <w:tc>
          <w:tcPr>
            <w:tcW w:w="146" w:type="dxa"/>
            <w:tcBorders/>
            <w:shd w:fill="CCEEFF" w:val="clear"/>
          </w:tcPr>
          <w:p>
            <w:pPr>
              <w:pStyle w:val="TableContents"/>
              <w:bidi w:val="0"/>
              <w:spacing w:before="0" w:after="283"/>
              <w:jc w:val="left"/>
              <w:rPr/>
            </w:pPr>
            <w:r>
              <w:rPr/>
              <w:t> </w:t>
            </w:r>
          </w:p>
        </w:tc>
        <w:tc>
          <w:tcPr>
            <w:tcW w:w="4393"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DFU healing potential prediction and wound assessment based on MSI, machine learning, healthcare metrics</w:t>
            </w:r>
          </w:p>
        </w:tc>
        <w:tc>
          <w:tcPr>
            <w:tcW w:w="146"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874"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India</w:t>
            </w:r>
          </w:p>
        </w:tc>
      </w:tr>
      <w:tr>
        <w:trPr/>
        <w:tc>
          <w:tcPr>
            <w:tcW w:w="1862"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2021-533805</w:t>
            </w:r>
          </w:p>
        </w:tc>
        <w:tc>
          <w:tcPr>
            <w:tcW w:w="146" w:type="dxa"/>
            <w:tcBorders/>
          </w:tcPr>
          <w:p>
            <w:pPr>
              <w:pStyle w:val="TableContents"/>
              <w:bidi w:val="0"/>
              <w:spacing w:before="0" w:after="283"/>
              <w:jc w:val="left"/>
              <w:rPr/>
            </w:pPr>
            <w:r>
              <w:rPr/>
              <w:t> </w:t>
            </w:r>
          </w:p>
        </w:tc>
        <w:tc>
          <w:tcPr>
            <w:tcW w:w="4393"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DFU healing potential prediction and wound assessment based on MSI, machine learning, healthcare metrics</w:t>
            </w:r>
          </w:p>
        </w:tc>
        <w:tc>
          <w:tcPr>
            <w:tcW w:w="146" w:type="dxa"/>
            <w:tcBorders/>
          </w:tcPr>
          <w:p>
            <w:pPr>
              <w:pStyle w:val="TableContents"/>
              <w:bidi w:val="0"/>
              <w:spacing w:before="0" w:after="283"/>
              <w:jc w:val="left"/>
              <w:rPr/>
            </w:pPr>
            <w:r>
              <w:rPr/>
              <w:t> </w:t>
            </w:r>
          </w:p>
        </w:tc>
        <w:tc>
          <w:tcPr>
            <w:tcW w:w="163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874"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r>
      <w:tr>
        <w:trPr/>
        <w:tc>
          <w:tcPr>
            <w:tcW w:w="1862"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2023-063250</w:t>
            </w:r>
          </w:p>
        </w:tc>
        <w:tc>
          <w:tcPr>
            <w:tcW w:w="146" w:type="dxa"/>
            <w:tcBorders/>
            <w:shd w:fill="CCEEFF" w:val="clear"/>
          </w:tcPr>
          <w:p>
            <w:pPr>
              <w:pStyle w:val="TableContents"/>
              <w:bidi w:val="0"/>
              <w:spacing w:before="0" w:after="283"/>
              <w:jc w:val="left"/>
              <w:rPr/>
            </w:pPr>
            <w:r>
              <w:rPr/>
              <w:t> </w:t>
            </w:r>
          </w:p>
        </w:tc>
        <w:tc>
          <w:tcPr>
            <w:tcW w:w="4393"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DFU healing potential prediction and wound assessment based on MSI, machine learning, healthcare metrics</w:t>
            </w:r>
          </w:p>
        </w:tc>
        <w:tc>
          <w:tcPr>
            <w:tcW w:w="146"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874"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r>
      <w:tr>
        <w:trPr/>
        <w:tc>
          <w:tcPr>
            <w:tcW w:w="1862"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10-2021-7021623</w:t>
            </w:r>
          </w:p>
        </w:tc>
        <w:tc>
          <w:tcPr>
            <w:tcW w:w="146" w:type="dxa"/>
            <w:tcBorders/>
          </w:tcPr>
          <w:p>
            <w:pPr>
              <w:pStyle w:val="TableContents"/>
              <w:bidi w:val="0"/>
              <w:spacing w:before="0" w:after="283"/>
              <w:jc w:val="left"/>
              <w:rPr/>
            </w:pPr>
            <w:r>
              <w:rPr/>
              <w:t> </w:t>
            </w:r>
          </w:p>
        </w:tc>
        <w:tc>
          <w:tcPr>
            <w:tcW w:w="4393"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DFU healing potential prediction and wound assessment based on MSI, machine learning, healthcare metrics</w:t>
            </w:r>
          </w:p>
        </w:tc>
        <w:tc>
          <w:tcPr>
            <w:tcW w:w="146" w:type="dxa"/>
            <w:tcBorders/>
          </w:tcPr>
          <w:p>
            <w:pPr>
              <w:pStyle w:val="TableContents"/>
              <w:bidi w:val="0"/>
              <w:spacing w:before="0" w:after="283"/>
              <w:jc w:val="left"/>
              <w:rPr/>
            </w:pPr>
            <w:r>
              <w:rPr/>
              <w:t> </w:t>
            </w:r>
          </w:p>
        </w:tc>
        <w:tc>
          <w:tcPr>
            <w:tcW w:w="163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874"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 Korea</w:t>
            </w:r>
          </w:p>
        </w:tc>
      </w:tr>
      <w:tr>
        <w:trPr/>
        <w:tc>
          <w:tcPr>
            <w:tcW w:w="1862"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202180030012.7</w:t>
            </w:r>
          </w:p>
        </w:tc>
        <w:tc>
          <w:tcPr>
            <w:tcW w:w="146" w:type="dxa"/>
            <w:tcBorders/>
            <w:shd w:fill="CCEEFF" w:val="clear"/>
          </w:tcPr>
          <w:p>
            <w:pPr>
              <w:pStyle w:val="TableContents"/>
              <w:bidi w:val="0"/>
              <w:spacing w:before="0" w:after="283"/>
              <w:jc w:val="left"/>
              <w:rPr/>
            </w:pPr>
            <w:r>
              <w:rPr/>
              <w:t> </w:t>
            </w:r>
          </w:p>
        </w:tc>
        <w:tc>
          <w:tcPr>
            <w:tcW w:w="4393"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Wound assessment based on MSI, optical biomarkers, and machine learning</w:t>
            </w:r>
          </w:p>
        </w:tc>
        <w:tc>
          <w:tcPr>
            <w:tcW w:w="146"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874"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r>
      <w:tr>
        <w:trPr/>
        <w:tc>
          <w:tcPr>
            <w:tcW w:w="1862"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21759766.5</w:t>
            </w:r>
          </w:p>
        </w:tc>
        <w:tc>
          <w:tcPr>
            <w:tcW w:w="146" w:type="dxa"/>
            <w:tcBorders/>
          </w:tcPr>
          <w:p>
            <w:pPr>
              <w:pStyle w:val="TableContents"/>
              <w:bidi w:val="0"/>
              <w:spacing w:before="0" w:after="283"/>
              <w:jc w:val="left"/>
              <w:rPr/>
            </w:pPr>
            <w:r>
              <w:rPr/>
              <w:t> </w:t>
            </w:r>
          </w:p>
        </w:tc>
        <w:tc>
          <w:tcPr>
            <w:tcW w:w="4393"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Wound assessment based on MSI, optical biomarkers, and machine learning</w:t>
            </w:r>
          </w:p>
        </w:tc>
        <w:tc>
          <w:tcPr>
            <w:tcW w:w="146" w:type="dxa"/>
            <w:tcBorders/>
          </w:tcPr>
          <w:p>
            <w:pPr>
              <w:pStyle w:val="TableContents"/>
              <w:bidi w:val="0"/>
              <w:spacing w:before="0" w:after="283"/>
              <w:jc w:val="left"/>
              <w:rPr/>
            </w:pPr>
            <w:r>
              <w:rPr/>
              <w:t> </w:t>
            </w:r>
          </w:p>
        </w:tc>
        <w:tc>
          <w:tcPr>
            <w:tcW w:w="163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874"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r>
      <w:tr>
        <w:trPr/>
        <w:tc>
          <w:tcPr>
            <w:tcW w:w="1862"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202217054022</w:t>
            </w:r>
          </w:p>
        </w:tc>
        <w:tc>
          <w:tcPr>
            <w:tcW w:w="146" w:type="dxa"/>
            <w:tcBorders/>
            <w:shd w:fill="CCEEFF" w:val="clear"/>
          </w:tcPr>
          <w:p>
            <w:pPr>
              <w:pStyle w:val="TableContents"/>
              <w:bidi w:val="0"/>
              <w:spacing w:before="0" w:after="283"/>
              <w:jc w:val="left"/>
              <w:rPr/>
            </w:pPr>
            <w:r>
              <w:rPr/>
              <w:t> </w:t>
            </w:r>
          </w:p>
        </w:tc>
        <w:tc>
          <w:tcPr>
            <w:tcW w:w="4393"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Wound assessment based on MSI, optical biomarkers, and machine learning</w:t>
            </w:r>
          </w:p>
        </w:tc>
        <w:tc>
          <w:tcPr>
            <w:tcW w:w="146"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874"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India</w:t>
            </w:r>
          </w:p>
        </w:tc>
      </w:tr>
      <w:tr>
        <w:trPr/>
        <w:tc>
          <w:tcPr>
            <w:tcW w:w="1862"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21842496.8</w:t>
            </w:r>
          </w:p>
        </w:tc>
        <w:tc>
          <w:tcPr>
            <w:tcW w:w="146" w:type="dxa"/>
            <w:tcBorders/>
          </w:tcPr>
          <w:p>
            <w:pPr>
              <w:pStyle w:val="TableContents"/>
              <w:bidi w:val="0"/>
              <w:spacing w:before="0" w:after="283"/>
              <w:jc w:val="left"/>
              <w:rPr/>
            </w:pPr>
            <w:r>
              <w:rPr/>
              <w:t> </w:t>
            </w:r>
          </w:p>
        </w:tc>
        <w:tc>
          <w:tcPr>
            <w:tcW w:w="4393"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Burn/histology assessment based on MSI and machine learning</w:t>
            </w:r>
          </w:p>
        </w:tc>
        <w:tc>
          <w:tcPr>
            <w:tcW w:w="146" w:type="dxa"/>
            <w:tcBorders/>
          </w:tcPr>
          <w:p>
            <w:pPr>
              <w:pStyle w:val="TableContents"/>
              <w:bidi w:val="0"/>
              <w:spacing w:before="0" w:after="283"/>
              <w:jc w:val="left"/>
              <w:rPr/>
            </w:pPr>
            <w:r>
              <w:rPr/>
              <w:t> </w:t>
            </w:r>
          </w:p>
        </w:tc>
        <w:tc>
          <w:tcPr>
            <w:tcW w:w="163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874"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r>
      <w:tr>
        <w:trPr/>
        <w:tc>
          <w:tcPr>
            <w:tcW w:w="1862"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21842496.8</w:t>
            </w:r>
          </w:p>
        </w:tc>
        <w:tc>
          <w:tcPr>
            <w:tcW w:w="146" w:type="dxa"/>
            <w:tcBorders/>
            <w:shd w:fill="CCEEFF" w:val="clear"/>
          </w:tcPr>
          <w:p>
            <w:pPr>
              <w:pStyle w:val="TableContents"/>
              <w:bidi w:val="0"/>
              <w:spacing w:before="0" w:after="283"/>
              <w:jc w:val="left"/>
              <w:rPr/>
            </w:pPr>
            <w:r>
              <w:rPr/>
              <w:t> </w:t>
            </w:r>
          </w:p>
        </w:tc>
        <w:tc>
          <w:tcPr>
            <w:tcW w:w="4393"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Burn/histology assessment based on MSI and machine learning</w:t>
            </w:r>
          </w:p>
        </w:tc>
        <w:tc>
          <w:tcPr>
            <w:tcW w:w="146"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874"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r>
      <w:tr>
        <w:trPr/>
        <w:tc>
          <w:tcPr>
            <w:tcW w:w="1862"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202317002043</w:t>
            </w:r>
          </w:p>
        </w:tc>
        <w:tc>
          <w:tcPr>
            <w:tcW w:w="146" w:type="dxa"/>
            <w:tcBorders/>
          </w:tcPr>
          <w:p>
            <w:pPr>
              <w:pStyle w:val="TableContents"/>
              <w:bidi w:val="0"/>
              <w:spacing w:before="0" w:after="283"/>
              <w:jc w:val="left"/>
              <w:rPr/>
            </w:pPr>
            <w:r>
              <w:rPr/>
              <w:t> </w:t>
            </w:r>
          </w:p>
        </w:tc>
        <w:tc>
          <w:tcPr>
            <w:tcW w:w="4393"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Burn/histology assessment based on MSI and machine learning</w:t>
            </w:r>
          </w:p>
        </w:tc>
        <w:tc>
          <w:tcPr>
            <w:tcW w:w="146" w:type="dxa"/>
            <w:tcBorders/>
          </w:tcPr>
          <w:p>
            <w:pPr>
              <w:pStyle w:val="TableContents"/>
              <w:bidi w:val="0"/>
              <w:spacing w:before="0" w:after="283"/>
              <w:jc w:val="left"/>
              <w:rPr/>
            </w:pPr>
            <w:r>
              <w:rPr/>
              <w:t> </w:t>
            </w:r>
          </w:p>
        </w:tc>
        <w:tc>
          <w:tcPr>
            <w:tcW w:w="163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874"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India</w:t>
            </w:r>
          </w:p>
        </w:tc>
      </w:tr>
      <w:tr>
        <w:trPr/>
        <w:tc>
          <w:tcPr>
            <w:tcW w:w="1862"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2023-502581</w:t>
            </w:r>
          </w:p>
        </w:tc>
        <w:tc>
          <w:tcPr>
            <w:tcW w:w="146" w:type="dxa"/>
            <w:tcBorders/>
            <w:shd w:fill="CCEEFF" w:val="clear"/>
          </w:tcPr>
          <w:p>
            <w:pPr>
              <w:pStyle w:val="TableContents"/>
              <w:bidi w:val="0"/>
              <w:spacing w:before="0" w:after="283"/>
              <w:jc w:val="left"/>
              <w:rPr/>
            </w:pPr>
            <w:r>
              <w:rPr/>
              <w:t> </w:t>
            </w:r>
          </w:p>
        </w:tc>
        <w:tc>
          <w:tcPr>
            <w:tcW w:w="4393"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Burn/histology assessment based on MSI and machine learning</w:t>
            </w:r>
          </w:p>
        </w:tc>
        <w:tc>
          <w:tcPr>
            <w:tcW w:w="146"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874"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r>
      <w:tr>
        <w:trPr/>
        <w:tc>
          <w:tcPr>
            <w:tcW w:w="1862" w:type="dxa"/>
            <w:tcBorders/>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PCT/US2022/022398</w:t>
            </w:r>
          </w:p>
        </w:tc>
        <w:tc>
          <w:tcPr>
            <w:tcW w:w="146" w:type="dxa"/>
            <w:tcBorders/>
          </w:tcPr>
          <w:p>
            <w:pPr>
              <w:pStyle w:val="TableContents"/>
              <w:bidi w:val="0"/>
              <w:spacing w:before="0" w:after="283"/>
              <w:jc w:val="left"/>
              <w:rPr/>
            </w:pPr>
            <w:r>
              <w:rPr/>
              <w:t> </w:t>
            </w:r>
          </w:p>
        </w:tc>
        <w:tc>
          <w:tcPr>
            <w:tcW w:w="4393"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High-precision, single-aperture, MSI snapshot imaging with multiplexed illumination</w:t>
            </w:r>
          </w:p>
        </w:tc>
        <w:tc>
          <w:tcPr>
            <w:tcW w:w="146" w:type="dxa"/>
            <w:tcBorders/>
          </w:tcPr>
          <w:p>
            <w:pPr>
              <w:pStyle w:val="TableContents"/>
              <w:bidi w:val="0"/>
              <w:spacing w:before="0" w:after="283"/>
              <w:jc w:val="left"/>
              <w:rPr/>
            </w:pPr>
            <w:r>
              <w:rPr/>
              <w:t> </w:t>
            </w:r>
          </w:p>
        </w:tc>
        <w:tc>
          <w:tcPr>
            <w:tcW w:w="1638"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tcPr>
          <w:p>
            <w:pPr>
              <w:pStyle w:val="TableContents"/>
              <w:bidi w:val="0"/>
              <w:spacing w:before="0" w:after="283"/>
              <w:jc w:val="left"/>
              <w:rPr/>
            </w:pPr>
            <w:r>
              <w:rPr/>
              <w:t> </w:t>
            </w:r>
          </w:p>
        </w:tc>
        <w:tc>
          <w:tcPr>
            <w:tcW w:w="1874"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 PCT Application</w:t>
            </w:r>
          </w:p>
        </w:tc>
      </w:tr>
      <w:tr>
        <w:trPr/>
        <w:tc>
          <w:tcPr>
            <w:tcW w:w="1862" w:type="dxa"/>
            <w:tcBorders/>
            <w:shd w:fill="CCEEFF" w:val="clear"/>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PCT/US2023/011157</w:t>
            </w:r>
          </w:p>
        </w:tc>
        <w:tc>
          <w:tcPr>
            <w:tcW w:w="146" w:type="dxa"/>
            <w:tcBorders/>
            <w:shd w:fill="CCEEFF" w:val="clear"/>
          </w:tcPr>
          <w:p>
            <w:pPr>
              <w:pStyle w:val="TableContents"/>
              <w:bidi w:val="0"/>
              <w:spacing w:before="0" w:after="283"/>
              <w:jc w:val="left"/>
              <w:rPr/>
            </w:pPr>
            <w:r>
              <w:rPr/>
              <w:t> </w:t>
            </w:r>
          </w:p>
        </w:tc>
        <w:tc>
          <w:tcPr>
            <w:tcW w:w="4393" w:type="dxa"/>
            <w:tcBorders/>
            <w:shd w:fill="CCEEFF" w:val="clear"/>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Topological characterization and assessment of tissue including wounds, using MSI and machine learning</w:t>
            </w:r>
          </w:p>
        </w:tc>
        <w:tc>
          <w:tcPr>
            <w:tcW w:w="146" w:type="dxa"/>
            <w:tcBorders/>
            <w:shd w:fill="CCEEFF" w:val="clear"/>
          </w:tcPr>
          <w:p>
            <w:pPr>
              <w:pStyle w:val="TableContents"/>
              <w:bidi w:val="0"/>
              <w:spacing w:before="0" w:after="283"/>
              <w:jc w:val="left"/>
              <w:rPr/>
            </w:pPr>
            <w:r>
              <w:rPr/>
              <w:t> </w:t>
            </w:r>
          </w:p>
        </w:tc>
        <w:tc>
          <w:tcPr>
            <w:tcW w:w="1638"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Utility</w:t>
            </w:r>
          </w:p>
        </w:tc>
        <w:tc>
          <w:tcPr>
            <w:tcW w:w="146" w:type="dxa"/>
            <w:tcBorders/>
            <w:shd w:fill="CCEEFF" w:val="clear"/>
          </w:tcPr>
          <w:p>
            <w:pPr>
              <w:pStyle w:val="TableContents"/>
              <w:bidi w:val="0"/>
              <w:spacing w:before="0" w:after="283"/>
              <w:jc w:val="left"/>
              <w:rPr/>
            </w:pPr>
            <w:r>
              <w:rPr/>
              <w:t> </w:t>
            </w:r>
          </w:p>
        </w:tc>
        <w:tc>
          <w:tcPr>
            <w:tcW w:w="1874"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 PCT Application</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support the development of our brand and product offerings through trademark protection at the United States Patent and Trademark Office. As of March 31, 2023, we maintain a portfolio of 57 trademarks and seven trademark applications pending relating to our DeepView SnapShot® product offerings. Our trademarks and pending trademark applications are spread over nine jurisdictions mostly in China, the UK and the EU. It is our intention to maintain these registrations indefinitely and to expand the number of jurisdictions in which we have registered trademarks as deemed necessary to protect our freedom to use the marks and/or block competitors in additional markets. We will continue to look to protect our intellectual property in the United States, UK and the EU as those are the first commercial markets for our products.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duration of trademark registrations varies from country to country; however, trademark are generally valid and may be renewed indefinitely as long as they are in use and/or their registrations are properly maintained. We have an active program designed to ensure that our trademarks are registered, renewed, protected and maintained. We plan to continue to use all of our core trademarks and plan to renew the registrations for such trademarks as needed.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rely on trade secrets, know-how, continuing technological innovation and potential in-licensing opportunities to develop and maintain our competitive position. We seek to protect these trade secrets and other proprietary technology, in part, by entering into confidentiality agreements with parties who have access to them. We also enter into confidentiality and invention assignment agreements with our employees and our agreements with consultants include invention assignment obligations.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Regulation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 of Medical Devices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FDA Premarket Clearance and Approval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an exemption applies, each medical device commercially distributed in the United States requires market authorization by the FDA via clearance through a premarket notification submitted under Section 510(k) of the FDCA, De Novo application request, or approval of a PMA. Under the FDCA, medical devices are classified into one of three classes — Class I, Class II, or Class III — 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A </w:t>
      </w:r>
      <w:r>
        <w:rPr>
          <w:rFonts w:ascii="Times New Roman PS Std;serif" w:hAnsi="Times New Roman PS Std;serif"/>
          <w:b w:val="false"/>
          <w:i/>
          <w:caps w:val="false"/>
          <w:smallCaps w:val="false"/>
          <w:sz w:val="20"/>
        </w:rPr>
        <w:t>De Novo</w:t>
      </w:r>
      <w:r>
        <w:rPr>
          <w:rFonts w:ascii="Times New Roman PS Std;serif" w:hAnsi="Times New Roman PS Std;serif"/>
          <w:b w:val="false"/>
          <w:i w:val="false"/>
          <w:caps w:val="false"/>
          <w:smallCaps w:val="false"/>
          <w:sz w:val="20"/>
        </w:rPr>
        <w:t xml:space="preserve"> petition is required when a new intended use is requested for a technology that is established to be of moderate risk to the patient. This petition requests the FDA down-classify a new device from a Class III to a Class II regulation. Some pre-amendment devices are unclassified but are subject to FDA’s premarket notification and clearance process in order to be commercially distributed. We have obtained 510(k) clearance for the first two generations of our DeepView System. However, there can be no assurance that we will be able to obtain FDA market authorization via 510(k) clearance or granted Class II classification via De Novo application process for our DeepView GEN 3 System.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510(k) Clearance Marketing Pathway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previously approved products are subject to requirements for pre-market notification and clearance under section 510(k) of the FDCA. To obtain 510(k) clearance, we submitted to the FDA a premarket notification submission demonstrating that the proposed device is “substantially equivalent” to a legally marketed predicate device. A predicate device is a legally marketed device that is not subject to premarket approval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xml:space="preserve">., a device that was legally marketed prior to May 28, 1976 (pre-amendments device) and for which a PMA is not required, a device that has been reclassified from Class III to Class II or I, or a device that was found substantially equivalent through the 510(k) process).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FDA’s 510(k) clearance process usually takes from three to 12 months but may take longer. The FDA may require additional information, including clinical data, to make a determination regarding substantial equivalence. In addition, the FDA collects user fees for certain medical device submissions and annual fees for medical device establishments.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The FDA requires each manufacturer to determine whether the proposed change requires submission of a 510(k)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such marketing approval or clearance has been granted. Also, in these circumstances, the manufacturer may be subject to significant regulatory fines or penalties.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last several years, the FDA has proposed reforms to its 510(k)-clearance process, and such proposals could include increased requirements for clinical data and a longer review period, or could make it more difficult for manufacturers to utilize the 510(k)-clearance process for their products. For example, in November 2018, FDA officials announced steps that the FDA intended to take to modernize the 510(k) pathway. Among other things, the FDA announced that it planned to develop proposals to drive manufacturers utilizing the 510(k) pathway toward the use of newer predicates. These proposals included plans to potentially sunset certain older devices that were used as predicates under the 510(k)-clearance pathway, and to potentially publish a list of devices that have been cleared on the basis of demonstrated substantial equivalence to predicate devices that are more than 10 years old. These proposals have not yet been finalized or adopted, although the FDA may work with Congress to implement such proposals through legislation.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PMA Approval Pathway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III devices require PMA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post-marketing surveillance when deemed necessary to protect the public health or to provide additional safety and efficacy data for the device in a larger population or for a longer period of use. In such cases, the manufacturer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Regulatory Pathway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had multiple interactions with the FDA since 2013 and have obtained 510(k) clearance for the first two generations of our DeepView technology. DeepView GEN 1 employed photoplethysmography and was 510(k) cleared in 2013 and DeepView GEN 2, which employed PPG and MSI was FDA cleared in 2017. With the ongoing support of BARDA, these two previous iterations were not commercialized due to the integration of AI algorithms and improved optics throughout 2018 and 2019 in order to further enhance the utility of the system. The development of this improved technology enabled us to achieve BDD status for the technology’s burn application (AI®-Burn). The FDA’s designation as a Breakthrough Device allows for expedited regulatory approval pathways and a dedicated line of communication with reviewing members of the FDA. We have engaged in pre-submission meetings with the FDA to ensure that our regulatory pathway and data collection for the technology to meet the FDA’s requirements. In addition to burn, we plan to pursue an FDA De Novo application for the AI®-DFU in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submit for FDA marketing application of the burn application in 2025 in accordance with the projected timeline for the BARDA contract. We are in the process of selecting a notified body to schedule the QMS certification audit in compliance with ISO 13485:2016 MDSAP under the U.S. and Canadian jurisdictions. We anticipate certification in 2025. In parallel, we are scheduling the DeepView System Technical Documentation audit necessary to obtain the CE Mark and UKCA certificates to allow market access in the EU and UK. On July 14, 2023, Spectral completed its UKCA Mark registration for the imaging components of the DeepView System. There can be no assurance, however, that we will be able to obtain market authorization in the US (FDA), UK (MHRA) or EU for our DeepView GEN 3 System (with AI technology).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Clinical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trials are almost always required to support a PMA and De Novo classification and are sometimes required to support a 510(k) submission. All clinical investigations of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conditional approval.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Regardless of the degree of risk presented by the medical device, clinical studies involving human subjects must be approved by, and conducted under the oversight of an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complying with labeling and record-keeping requirements. In some cases, an IDE supplement must be submitted to, and approved by, the FDA before a sponsor or investigator may make a change to the investigational plan that may affect its scientific soundness; study plan; or the rights, safety or welfare of human subjects.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Post-market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a device is cleared or approved for marketing, numerous and pervasive regulatory requirements continue to apply. These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establishment registration and device listing with the FDA;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QSR requirements, which require manufacturers, including third-party manufacturers, to follow stringent design, testing, control, documentation and other quality assurance procedures during all aspects of the design and manufacturing process;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labeling regulations and FDA prohibitions against the promotion of investigational products, or the promotion of “off-label” uses of cleared or approved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requirements related to promotional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FDA’s recall authority, whereby the agency can order device manufacturers to recall from the market a product that is in violation of governing laws and regulations;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post-market surveillance activities and regulations, which apply when deemed by the FDA to be necessary to protect the public health or to provide additional safety and effectiveness data for the device.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Manufacturing processes for medical devices and accessories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history file, and complaint files. As a manufacturer, we are subject to periodic scheduled and unscheduled inspections by the FDA. Failure to maintain compliance with the QSR requirements could result in the shut-down of, or restrictions on, manufacturing operations and the recall or seizure of marketed products. The discovery of previously unknown problems with any marketed products, including unanticipated adverse events or adverse events of increasing severity or frequency, whether resulting from the use of the device within the scope of its clearance or approval, or off-label by a physician in the practice of medicine, could result in restrictions on the device, including the removal of the product from the market or voluntary or mandatory device recalls.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has broad regulatory compliance and enforcement powers. We are subject to unannounced inspections by the FDA to determine our compliance with the QSR and other regulations, and these inspections may include the manufacturing facilities of our suppliers and manufacturers. If the FDA determines that a manufacturer or supplier has failed to comply with applicable regulatory requirements, it can take a variety of compliance or enforcement actions, which may result in any of the following sanctions: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warning letters, untitled letters, fines, injunctions, consent decrees and civil penalties;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recalls, withdrawals, or administrative detention or seizure of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restrictions or partial suspension or total shutdown of production;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refusing or delaying requests for 510(k) clearance or PMA approvals of new products or modified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withdrawing 510(k) clearances or PMA approvals that have already been granted;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refusal to grant export approvals for our products;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criminal prosecution.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 of Medical Devices in the European Union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EU, until May 25, 2021, medical devices were regulated by the Council Directive 93/42/EEC (the “EU Medical Devices Directive”), which has been repealed and replaced by Regulation (EU) No 2017/745 (the “EU Medical Devices Regulation”). Unlike directives, regulations are directly applicable in all EU member states without the need for member states to implement into national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medical devices placed on the EU market must meet the general safety and performance requirements of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any risks which may be associated with their use constitute acceptable risks when weighed against the benefits to the patient and are compatible with a high level of protection of health and safety, taking into account the generally acknowledged state of the 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the general safety and performance requirements is a prerequisite for European Conformity Marking, or CE-Mark, without which medical devices cannot be marketed or sold in the EU. To demonstrate compliance with the general safety and performance requirements medical device manufacturers must undergo a conformity assessment procedure, which varies according to the type of medical device and its (risk) classification. Except for low-risk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management system. If satisfied that the relevant product conforms to the relevant general safety and performance requirements, the notified body issues a CE marking certificate of conformity, which the manufacturer uses as a basis for its own declaration of conformity. The manufacturer may then apply a CE Mark to the device, which allows the device to be placed on the market throughout the EU.</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the term of the CE Mark, the manufacturer will be subject to periodic surveillance audits to verify continued compliance with the applicable requirements. In particular, there will be a new audit by the notified body before it renews the relevant CE marking certificate(s).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manufacturers placing medical devices into the market in the EU must comply with the EU medical device vigilance system. Under this system, serious incidents and Field Safety Corrective Actions (“FSCAs”) must be reported to the relevant authorities of the EU member states.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aforementioned EU rules are generally applicable in the EEA, which consists of the 27 EU member states </w:t>
      </w:r>
      <w:r>
        <w:rPr>
          <w:rFonts w:ascii="Times New Roman PS Std;serif" w:hAnsi="Times New Roman PS Std;serif"/>
          <w:b w:val="false"/>
          <w:i/>
          <w:caps w:val="false"/>
          <w:smallCaps w:val="false"/>
          <w:sz w:val="20"/>
        </w:rPr>
        <w:t>plus</w:t>
      </w:r>
      <w:r>
        <w:rPr>
          <w:rFonts w:ascii="Times New Roman PS Std;serif" w:hAnsi="Times New Roman PS Std;serif"/>
          <w:b w:val="false"/>
          <w:i w:val="false"/>
          <w:caps w:val="false"/>
          <w:smallCaps w:val="false"/>
          <w:sz w:val="20"/>
        </w:rPr>
        <w:t xml:space="preserve"> Norway, Liechtenstein and Iceland.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 Healthcare Fraud and Abuse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if our products become reimbursable by the federal and state government health care programs, we will become subject to a number of federal and state health care regulatory laws that constrain or restrict certain business practices in the health care industry. These laws include, but are not limited to, federal and state anti-kickback, false claims, transparency laws governing, or requiring disclosure of, payments and other transfers of value made to physicians and other health care providers, and other health care fraud and abuse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federal Anti-Kickback Statute is a criminal law that prohibits, among other things, the knowing and willful offer, payment, solicitation or receipt of remuneration, directly or indirectly, in cash or kind, to induce or reward patient referrals or the generation of business involving any item or service payable by federal health care programs such as Medicare and Medicaid. Federal courts have held that the Anti-Kickback Statute can be violated if just “one purpose” of a payment is to induce referral, and a person or entity does not need to have actual knowledge of the statute or specific intent to violate it in order to have committed a violation. Given the breadth of the law, the federal Anti-Kickback Statute includes statutory exceptions and regulatory safe harbors that protect certain arrangements. Failure to meet the requirements of an exception or safe harbor, however, does not render an arrangement illegal. Rather, the government may evaluate such arrangements on a case-by-case basis, taking into account all facts and circumstances, including the parties’ intent and the arrangement’s potential for abuse, and may be subject to greater scrutiny by enforcement agencies. Violations of the Anti-Kickback Statute can result in exclusion from federal and state government health care programs as well as civil and criminal penalties.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Federal False Claims Act (the “FCA”) prohibits a person from knowingly presenting, or causing to be presented, a false or fraudulent request for payment from the federal government, or from making a false statement or using a false record material to a false claim or an obligation to pay the government. The federal FCA further provides that a lawsuit thereunder may be initiated not only by the government, but in the name of the United States by private parties through </w:t>
      </w:r>
      <w:r>
        <w:rPr>
          <w:rFonts w:ascii="Times New Roman PS Std;serif" w:hAnsi="Times New Roman PS Std;serif"/>
          <w:b w:val="false"/>
          <w:i/>
          <w:caps w:val="false"/>
          <w:smallCaps w:val="false"/>
          <w:sz w:val="20"/>
        </w:rPr>
        <w:t xml:space="preserve">qui tam </w:t>
      </w:r>
      <w:r>
        <w:rPr>
          <w:rFonts w:ascii="Times New Roman PS Std;serif" w:hAnsi="Times New Roman PS Std;serif"/>
          <w:b w:val="false"/>
          <w:i w:val="false"/>
          <w:caps w:val="false"/>
          <w:smallCaps w:val="false"/>
          <w:sz w:val="20"/>
        </w:rPr>
        <w:t xml:space="preserve">(or “whistleblower”) lawsuits. Moreover, the law defines a claim that includes items or service resulting from a violation of the Anti-Kickback Statute to be “false.” Penalties for a violation of the FCA include fines for each false claim, </w:t>
      </w:r>
      <w:r>
        <w:rPr>
          <w:rFonts w:ascii="Times New Roman PS Std;serif" w:hAnsi="Times New Roman PS Std;serif"/>
          <w:b w:val="false"/>
          <w:i/>
          <w:caps w:val="false"/>
          <w:smallCaps w:val="false"/>
          <w:sz w:val="20"/>
        </w:rPr>
        <w:t>plus</w:t>
      </w:r>
      <w:r>
        <w:rPr>
          <w:rFonts w:ascii="Times New Roman PS Std;serif" w:hAnsi="Times New Roman PS Std;serif"/>
          <w:b w:val="false"/>
          <w:i w:val="false"/>
          <w:caps w:val="false"/>
          <w:smallCaps w:val="false"/>
          <w:sz w:val="20"/>
        </w:rPr>
        <w:t xml:space="preserve"> up to three times the amount of damage caused by each false claim. Violations can also result in exclusion from participation in federal and state government health care programs.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Civil Monetary Penalties Statute authorizes the imposition of civil monetary penalties and sometimes exclusion against an individual or entity based on a variety of prohibited conduct, including, but not limited to, violating the Anti-Kickback Statute, submitting false claims in violation of the FCA, or offering remuneration to a federal health care program beneficiary that the individual or entity knows or should know is likely to influence the beneficiary to order or receive health care items or services from a particular provider.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HIPAA also established federal criminal statutes that prohibit, among other things,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Anti-Kickback Statute, a person or entity does not need to have actual knowledge of the statute or specific intent to violate it in order to have committed a violation.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payments or other transfers of value made to physicians (defined to include doctors, dentists,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optometrists, podiatrists and chiropractors), certain other healthcare professionals beginning in 2022, and teaching hospitals. Applicable manufacturers and applicable group purchasing organizations must also report annually to CMS ownership and investment interests held by physicians and their immediate family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Several states have also adopted similar fraud and abuse laws as described above. The scope of these laws and the interpretations of them vary from state to state and are enforced by state courts and regulatory authorities, each with broad discretion. Some state fraud and abuse laws apply to items or services reimbursed by any payor, including patients and commercial insurers, not just those reimbursed by a federally funded healthcare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Violation of any of these laws or any other governmental regulations that apply may result in significant penalties, including, without limitation, administrative civil and criminal penalties, damages, disgorgement, fines, additional reporting requirements and compliance oversight obligations, contractual damages, the curtailment or restructuring of operations, exclusion from participation in governmental healthcare programs and/or imprisonment.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 Coverage and Reimbursement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federal and state government healthcare programs, including Medicare and Medicaid, provide coverage for certain medical products and procedures. Where third-party payor coverage is not available, patients would be responsible for all of the costs associated with treatment using our products, once commercialized. Thus, availability of third-party payor reimbursement for our product will be important for our commercial success if the product is cleared by the FDA. No uniform policy of coverage and reimbursement among payors in the United States exists and coverage and reimbursement for procedures can differ significantly from payor to payor. As a result, the coverage determination process can be a time consuming and costly process that may require us to provide scientific and clinical support for the use of our products to each payor separately, with no assurance that coverage and adequate reimbursement will be applied consistently or obtained in the first instance. To contain costs of new technologies, third-party payors are increasingly scrutinizing new and existing treatments by requiring extensive evidence of favorable clinical outcomes. Providers may not ultimately purchase our products once commercialized if the providers do not receive sufficient reimbursement from payors for the cost of the product or procedures using our product. If third-party payors do not provide coverage or adequate reimbursement levels for procedures using our products, the demand for our products will not increase and/or there may be significant pricing pressure, either of which could adversely impact our business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 Healthcare Reform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there have been, and we expect there will continue to be, a number of legislative and regulatory changes to the health care system, many of which are intended to contain or reduce healthcare costs. By way of example, the ACA substantially changed the way healthcare is financed by both governmental and private insurers. Since its enactment, there have been judicial, executive and Congressional challenges to certain aspects of the ACA. On June 17, 2021, the U.S. Supreme Court dismissed the most recent judicial challenge to the ACA without specifically ruling on the constitutionality of the ACA. Prior to the Supreme Court’s decision, President Biden issued an executive order initiating a special enrollment period from February 15, 2021 through May 15, 2021 (and later extended to August 15, 2021) for purposes of obtaining health insurance coverage through the ACA marketplace. The executive order also instructed certain governmental agencies to review and reconsider their existing policies and rules that limit access to healthcare. It is unclear how other healthcare reform measures of the Biden administration or other efforts, if any, to challenge, repeal or replace the ACA will impact the ACA or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additional state and federal healthcare reform measures to be adopted in the future, any of which could limit the amounts that federal and state governments will pay for healthcare products and services, which could result in reduced demand for our products once commercialized or additional pricing pressure.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Data Privacy and Security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Numerous state, federal and foreign laws, including consumer protection laws and regulations, govern the collection, dissemination, use, access to, confidentiality, and security of personal information, including health-related personal information. In the United States, numerous federal and state laws and regulations, including data breach notification laws, health information privacy and security laws and federal and state consumer protection laws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regulations (e.g., Section 5 of the Federal Trade Commission Act (the “FTCA”)) that govern the collection, use, disclosure, and protection of health-related and other personal information could apply to our operations or the operations of our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HIPAA imposes privacy, security and breach notification obligations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when HIPAA does not apply, according to the FTC, misleading consumers about what is happening with their health information or failing to take appropriate steps to keep consumers’ personal information secure may constitute deceptive or unfair acts or practices in or affecting commerce in violation of Section 5(a) of the FTCA. The FTC also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certain state and non-U.S. laws, such as the California Consumer Privacy Act, the California Privacy Rights Act and the General Data Protection Regulation,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headquarters is located in Dallas, Texas, where we occupy approximately 11,000 square feet of space under a lease agreement. The lease agreement for our corporate headquarters expires in March 2024. While we believe our current facilities are sufficient to meet our current and anticipated future needs, we are actively seeking new leased space that will support the anticipated expansion of our operations. We anticipate leasing a new facility in 2024 which will be significantly larger than the current leased space to accommodate the planned expansion of our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Human Capital Resources and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employ a growing and highly skilled employee base, including our sales force, and promote a culture of innovation to continuously iterate and enhance our products, systems and commercial footprint. Our human capital objectives include, as applicable, identifying, recruiting, retaining, incentivizing and integrating our existing and additional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the expansion of our business in 2023 as we continue to build a focused and highly skilled team. We added 16 employees during the fiscal year 2022 and, at December 31, 2022 had 71 full-time employees in the United States and UK and have and will continue to make additional hires over the course of 2023 and beyond. The new hires will be made in all areas, in particular in operations, sales, marketing, and government contracts. This will further enable us to meet our technology, IP, clinical, regulatory, and commercial goals in 2023 and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With the Company accelerating towards commercialization, much focus has been given to the development, hiring, and retention of highly skilled individuals with proven commercial track records. In 2022, we saw a headcount growth of +29% with the addition of 16 full-time employees. We continue to prioritize recruitment in the areas of operations, production, regulatory, marketing, government contracts, and product development, which we believe will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enable it to meet technology, IP, clinical, regulatory and commercialization readiness goals in 2023 and 2024. None of our employees are subject to a collective bargaining agreement or represented by a trade or labor union. We consider our relationship with our employees to be good.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team is comprised of a diverse group of different backgrounds, orientations, beliefs, perspectives and capabilities. We are committed to a culture where diversity, respect, belonging and authenticity are valued. We are committed to hiring the best talent. Our recruiting strategy involves utilization of social media, employee referral programs, as well as internal and external recruiters.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designed and implemented our cash and stock compensation programs to attract, motivate, and retain our employees. We regularly review our compensation structure to ensure that we remain competitive, reward top performance, and ensure internal equity, while maintaining proper fiscal governance. Our compensation packages are designed based on market benchmarks. We offer robust benefits package including health (medical, dental and vision) insurance, paid time off, paid parental leave, a retirement plan and life and disability coverage.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subject to any material legal proceedings.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
      <w:bookmarkEnd w:id="17"/>
      <w:r>
        <w:rPr>
          <w:rFonts w:ascii="Times New Roman PS Std;serif" w:hAnsi="Times New Roman PS Std;serif"/>
          <w:b/>
          <w:i w:val="false"/>
          <w:caps w:val="false"/>
          <w:smallCaps w:val="false"/>
          <w:sz w:val="20"/>
        </w:rPr>
        <w:t>MANAGEMENT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lists the names, ages and positions of the individuals who currently serve as our executive officers and directors.</w:t>
      </w:r>
    </w:p>
    <w:tbl>
      <w:tblPr>
        <w:tblW w:w="7210" w:type="dxa"/>
        <w:jc w:val="left"/>
        <w:tblInd w:w="0" w:type="dxa"/>
        <w:tblLayout w:type="fixed"/>
        <w:tblCellMar>
          <w:top w:w="0" w:type="dxa"/>
          <w:left w:w="0" w:type="dxa"/>
          <w:bottom w:w="0" w:type="dxa"/>
          <w:right w:w="0" w:type="dxa"/>
        </w:tblCellMar>
      </w:tblPr>
      <w:tblGrid>
        <w:gridCol w:w="2776"/>
        <w:gridCol w:w="146"/>
        <w:gridCol w:w="496"/>
        <w:gridCol w:w="146"/>
        <w:gridCol w:w="3646"/>
      </w:tblGrid>
      <w:tr>
        <w:trPr/>
        <w:tc>
          <w:tcPr>
            <w:tcW w:w="27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3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46" w:type="dxa"/>
            <w:tcBorders/>
            <w:shd w:fill="CCEEFF" w:val="clear"/>
            <w:vAlign w:val="bottom"/>
          </w:tcPr>
          <w:p>
            <w:pPr>
              <w:pStyle w:val="TableContents"/>
              <w:bidi w:val="0"/>
              <w:spacing w:before="0" w:after="283"/>
              <w:jc w:val="left"/>
              <w:rPr/>
            </w:pPr>
            <w:r>
              <w:rPr/>
              <w:t> </w:t>
            </w:r>
          </w:p>
        </w:tc>
      </w:tr>
      <w:tr>
        <w:trPr/>
        <w:tc>
          <w:tcPr>
            <w:tcW w:w="27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Wensheng Fan</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vAlign w:val="bottom"/>
          </w:tcPr>
          <w:p>
            <w:pPr>
              <w:pStyle w:val="TableContents"/>
              <w:bidi w:val="0"/>
              <w:spacing w:before="0" w:after="283"/>
              <w:jc w:val="left"/>
              <w:rPr/>
            </w:pPr>
            <w:r>
              <w:rPr/>
              <w:t> </w:t>
            </w:r>
          </w:p>
        </w:tc>
        <w:tc>
          <w:tcPr>
            <w:tcW w:w="36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Niko Pagoulatos, Ph.D.</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vAlign w:val="bottom"/>
          </w:tcPr>
          <w:p>
            <w:pPr>
              <w:pStyle w:val="TableContents"/>
              <w:bidi w:val="0"/>
              <w:spacing w:before="0" w:after="283"/>
              <w:jc w:val="left"/>
              <w:rPr/>
            </w:pPr>
            <w:r>
              <w:rPr/>
              <w:t> </w:t>
            </w:r>
          </w:p>
        </w:tc>
        <w:tc>
          <w:tcPr>
            <w:tcW w:w="3646"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r>
        <w:trPr/>
        <w:tc>
          <w:tcPr>
            <w:tcW w:w="27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M. Carlson</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vAlign w:val="bottom"/>
          </w:tcPr>
          <w:p>
            <w:pPr>
              <w:pStyle w:val="TableContents"/>
              <w:bidi w:val="0"/>
              <w:spacing w:before="0" w:after="283"/>
              <w:jc w:val="left"/>
              <w:rPr/>
            </w:pPr>
            <w:r>
              <w:rPr/>
              <w:t> </w:t>
            </w:r>
          </w:p>
        </w:tc>
        <w:tc>
          <w:tcPr>
            <w:tcW w:w="36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Jeffrey Thatcher, Ph.D.</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shd w:fill="CCEEFF" w:val="clear"/>
            <w:vAlign w:val="bottom"/>
          </w:tcPr>
          <w:p>
            <w:pPr>
              <w:pStyle w:val="TableContents"/>
              <w:bidi w:val="0"/>
              <w:spacing w:before="0" w:after="283"/>
              <w:jc w:val="left"/>
              <w:rPr/>
            </w:pPr>
            <w:r>
              <w:rPr/>
              <w:t> </w:t>
            </w:r>
          </w:p>
        </w:tc>
        <w:tc>
          <w:tcPr>
            <w:tcW w:w="3646"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Scientist</w:t>
            </w:r>
          </w:p>
        </w:tc>
      </w:tr>
      <w:tr>
        <w:trPr/>
        <w:tc>
          <w:tcPr>
            <w:tcW w:w="2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 </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Directors</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46" w:type="dxa"/>
            <w:tcBorders/>
            <w:shd w:fill="CCEEFF" w:val="clear"/>
            <w:vAlign w:val="bottom"/>
          </w:tcPr>
          <w:p>
            <w:pPr>
              <w:pStyle w:val="TableContents"/>
              <w:bidi w:val="0"/>
              <w:spacing w:before="0" w:after="283"/>
              <w:jc w:val="left"/>
              <w:rPr/>
            </w:pPr>
            <w:r>
              <w:rPr/>
              <w:t> </w:t>
            </w:r>
          </w:p>
        </w:tc>
      </w:tr>
      <w:tr>
        <w:trPr/>
        <w:tc>
          <w:tcPr>
            <w:tcW w:w="27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Cynthia Cai</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vAlign w:val="bottom"/>
          </w:tcPr>
          <w:p>
            <w:pPr>
              <w:pStyle w:val="TableContents"/>
              <w:bidi w:val="0"/>
              <w:spacing w:before="0" w:after="283"/>
              <w:jc w:val="left"/>
              <w:rPr/>
            </w:pPr>
            <w:r>
              <w:rPr/>
              <w:t> </w:t>
            </w:r>
          </w:p>
        </w:tc>
        <w:tc>
          <w:tcPr>
            <w:tcW w:w="36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Richard Cotton</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CEEFF" w:val="clear"/>
            <w:vAlign w:val="bottom"/>
          </w:tcPr>
          <w:p>
            <w:pPr>
              <w:pStyle w:val="TableContents"/>
              <w:bidi w:val="0"/>
              <w:spacing w:before="0" w:after="283"/>
              <w:jc w:val="left"/>
              <w:rPr/>
            </w:pPr>
            <w:r>
              <w:rPr/>
              <w:t> </w:t>
            </w:r>
          </w:p>
        </w:tc>
        <w:tc>
          <w:tcPr>
            <w:tcW w:w="3646"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Mellish</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vAlign w:val="bottom"/>
          </w:tcPr>
          <w:p>
            <w:pPr>
              <w:pStyle w:val="TableContents"/>
              <w:bidi w:val="0"/>
              <w:spacing w:before="0" w:after="283"/>
              <w:jc w:val="left"/>
              <w:rPr/>
            </w:pPr>
            <w:r>
              <w:rPr/>
              <w:t> </w:t>
            </w:r>
          </w:p>
        </w:tc>
        <w:tc>
          <w:tcPr>
            <w:tcW w:w="36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Murphy</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vAlign w:val="bottom"/>
          </w:tcPr>
          <w:p>
            <w:pPr>
              <w:pStyle w:val="TableContents"/>
              <w:bidi w:val="0"/>
              <w:spacing w:before="0" w:after="283"/>
              <w:jc w:val="left"/>
              <w:rPr/>
            </w:pPr>
            <w:r>
              <w:rPr/>
              <w:t> </w:t>
            </w:r>
          </w:p>
        </w:tc>
        <w:tc>
          <w:tcPr>
            <w:tcW w:w="3646"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Deepak Sadagopan</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vAlign w:val="bottom"/>
          </w:tcPr>
          <w:p>
            <w:pPr>
              <w:pStyle w:val="TableContents"/>
              <w:bidi w:val="0"/>
              <w:spacing w:before="0" w:after="283"/>
              <w:jc w:val="left"/>
              <w:rPr/>
            </w:pPr>
            <w:r>
              <w:rPr/>
              <w:t> </w:t>
            </w:r>
          </w:p>
        </w:tc>
        <w:tc>
          <w:tcPr>
            <w:tcW w:w="36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Erich Spangenberg</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bottom"/>
          </w:tcPr>
          <w:p>
            <w:pPr>
              <w:pStyle w:val="TableContents"/>
              <w:bidi w:val="0"/>
              <w:spacing w:before="0" w:after="283"/>
              <w:jc w:val="left"/>
              <w:rPr/>
            </w:pPr>
            <w:r>
              <w:rPr/>
              <w:t> </w:t>
            </w:r>
          </w:p>
        </w:tc>
        <w:tc>
          <w:tcPr>
            <w:tcW w:w="3646"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Wensheng Fan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Wensheng Fan is a Co-Founder and the first employee of Spectral. For 11 years he served as CTO and COO, before becoming the CEO of Spectral. He is an executive, entrepreneur, and innovator with over 20 years of experience in natural speech recognition and imaging systems. Mr. Fan held various leadership roles in strategy, engineering, and operations with Sensata Technologies and Philips. He also has a long history of experience in business development and cross-functional team leadership, being a founder and/or early core member of multiple successful start-up companies. Under his leadership, Spectral’s DeepView® was granted FDA Breakthrough Device designation and is well on its way to disrupting the field of healthcare and medical technology. Mr. Fan received his B.S.E.E. degree from Tsinghua University in Beijing, China and M.S.E.E. degree from Northeastern University in Boston.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Niko Pagoulatos, Ph.D.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Niko Pagoulatos, Ph.D. is a technology executive and innovator with 25+ years of experience in engineering, clinical and business aspects of specialized medical ultrasound imaging. Dr. Pagoulatos is a team-oriented and results-driven leader with extensive experience and a strong track record in building and leading cross-functional teams to successfully commercialize innovative medical technologies with global clinical impact. Prior to joining Spectral, Dr. Pagoulatos held multiple executive roles at EchoNous, a global healthcare AI-focused medical ultrasound innovation company. Prior to EchoNous, Dr. Pagoulatos held director and advanced research and development engineering roles at FUJIFILM SonoSite, the world leader in point-of-care ultrasound, DYSIS Medical, a company focused on early detection and diagnosis of cervical disease using biophotonics, and Siemens Healthcare. Dr. Pagoulatos earned his B.S. in Physics from the University of Athens in Greece and completed his graduate studies at the University of Washington in Seattle, where he earned a M.S. in Bioengineering in addition to a M.S. and Ph.D. in Electrical Engineering.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Peter M. Carlson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Carlson was appointed as the Company’s Chief Financial Officer effective January 3, 2024. Mr. Carlson most recently served as CFO at MiMedx Group, Inc., a pioneer and leader in the advanced wound care space. Prior to joining MiMedx, Mr. Carlson was with Brighthouse Financial, and played an essential role in establishing Brighthouse as a separate public company after its spin-off from MetLife, Inc., where he worked for eight years. At MetLife, as Chief Accounting Officer, he led accounting, tax and financial reporting activities, along with budgeting and financial planning. Prior to MetLife, Pete was the Controller at Wachovia Corporation and an audit partner for a Big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 accounting firm. Mr. Carlson currently serves as a Board Member at White Mountains Insurance Group and as a trustee for Wake Forest University. He is a certified public accountant in New York and North Carolina, and he received a Bachelor of Science from Wake Forest University.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Jeffrey Thatcher, Ph.D.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Jeffrey Thatcher, Ph.D. serves as the Chief Scientist at Spectral. He currently oversees technology and applications research for medical imaging systems. He is a former Howard Hughes Medical Institute (HHMI) undergraduate research fellow, has served as PI on three National Science Foundation (NSF) grants, and is currently the PI of a Health and Human Services Biomedical Advanced Research and Development Authority (HHS/BARDA) government contract to develop an imaging device to assist with burn care. Dr. Thatcher received a B.S. in molecular biology from Texas Tech University and Ph.D. in biomedical engineering from University of Texas Southwestern Medical Center.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Non-Employee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Cynthia Cai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Cynthia Cai is an executive and investor with over twenty-five years of experience in the healthcare and life science industry. Extensive experience in equity investment, board membership, marketing, and business development. In-depth understanding of global biotech and life science business, widely recognized as having a unique ability to bridge collaboration between scientists and businesses, between the eastern and western worlds. Dr. Cai is the founder and president of Tharton Consulting, which provides investment and management consulting services. She is also a venture partner of Viva BioInnovator, an equity investor in biotech innovation with novel solutions to cross multiple therapeutic areas. Before that, she served as senior advisor to Northern Light Venture Capital, led its healthcare investment effort in the United States. Previously Dr. Cai had progressive leadership roles with Agilent Technologies, as global associate vice president of marketing, she was responsible for its billion-dollar Chromatography, Automation, and Mass Spec. business. Dr. Cai serves on the board of directors for Spectral (London: SMD), Arthrosi Therapeutics, F5 Therapeutics, AceLink Therapeutics, Exarta Therapeutics, and Amberstone Biosciences. She is also a member of the board for the Science History Institute in Philadelphia. Dr. Cai earned a B.A. and M. Eng. from Tsinghua University in Beijing, received her Ph.D. in Chemistry from the University of Massachusetts, and an MBA from The Wharton Business School of the University of Pennsylvania.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Richard Cotton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Richard Cotton has a wealth of experience in senior financial roles in life sciences and other sectors, including broadcast and photographic, automotive, filtration and metals. His experience covers all financial management and value creation activities from R&amp;D, to manufacturing and commercial in international organizations. He has significant experience in the development and successful execution of strategy, corporate finance and M&amp;A, capital markets and governance. Mr. Cotton was Chief Financial Officer of FTSE250 animal health company Dechra Pharmaceuticals plc, and prior to that Chief Financial Officer of medical device and drug formulation business Consort Medical plc. He was also Finance Director of Vitec Group plc, Group Finance Director at Wagon plc and Group Finance Director of McLeod Russel plc. Prior to this he held senior finance roles in Alcoa Inc. Fellow of the Chartered Institute of Management Accountants, Mr. Cotton holds a BA (Hons) in Business Studies from Kingston University.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Martin Mellish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Mellish has served as founding director of Aspen Advisory Services Ltd., since 1994. Aspen is a London-based private office overseeing investments in North America, Europe, and Asia. Mr. Mellish serves as non-executive director of Nucana Ltd (NASD: NCNA; member, Audit Committee) a clinical-stage biopharmaceutical company focused on improved chemotherapy agents, and Levitronix Technologies Inc. (Chair, Audit Committee) a technology company handling high-purity fluids for the semiconductor and life science industries, among other non-executive directorships. He is a member of the International Advisory Council of the Massachusetts General Hospital (MGH), Boston. He holds an M.Sc. from the Master of Health Care Delivery Science program at Dartmouth; an SM (Management) from the Massachusetts Institute of Technology and an M.Sc. (Accounting) from Northeastern University.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Michael P. Murphy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P. Murphy served as Chief Executive Officer of RCLF and a member of its Board of Directors since the company’s inception. Mr. Murphy began his investing career over 25 years ago. His career has been focused on being an entrepreneur in the investing and financial service industry. In the past, he was the Founder of a wealth management firm, hedge fund and multiple commercial real estate portfolios. In 2016, Mr. Murphy founded Rosecliff Ventures and has served as its Managing Partner since its inception. Over the past four years, Rosecliff Ventures has made over 80 investments, raised over $1 billion in assets under management, launched seven investment funds and experienced multiple portfolio company exits. A few select transactions from the Rosecliff Ventures portfolio include; Allbirds, Casper, Postmates, Ro, Thirty Madison, Petal and Wheels Up. Mr. Murphy is currently a board member of multiple private, venture capital backed companies. Mr. Murphy previously was a contributor on CNBC and regularly appeared on the network’s FASTMONEY segment. Currently, Mr. Murphy is a regular weekly contributor on Fox Network. Mr. Murphy earned a Bachelor of Arts in Business Administration from Hofstra University.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Deepak Sadagopan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Deepak Sadagopan currently serves as Chief Operating Officer of Population Health at Providence St. Joseph Health, where he leads population health initiatives across the system to transform care. Mr. Sadagopan has more than 22 years of experience in health care, serving in leadership roles at Siemens PLM Solutions, Quest Diagnostics, McKesson, and Edifecs. Over the past eight years, he has focused on working closely with payers and providers on the use of technology to drive business decisions making the transition from volume to value-based delivery models. Mr. Sadagopan is a leading voice in ensuring value-based care and Health IT policy initiatives enable equitable access to health care. He serves on the steering committee for HL7’s DaVinci Accelerator to guide value-based care collaboration between payers and providers, and on the Department of Health and Human Services’ ONC FAST National Steering Committee to accelerate interoperability data standards. He serves on the faculty of the School of Public Health at the University of Washington as Clinical Assistant Professor, teaching MHA courses in Value-Based Care and economics. Mr. Sadagopan earned his master’s degree in healthcare delivery and economics from Dartmouth College. He also has a master’s degree in engineering, specializing in data science, from the University of Connecticut and has completed an executive management program with the MIT Sloan School of Management.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Erich Spangenberg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Erich Spangenberg accepted his appointment to the Board on November 27, 2023. Erich Spangenberg is a serial entrepreneur and industry luminary in the patent business. Mr. Spangenberg is currently the Managing Partner at Sauvegarder Investment Management, a multi-strategy investment firm dedicated to IP-related financing and investment opportunities. Mr. Spangenberg started his career as a corporate lawyer (working for Jones Day), then as an investment banker (having held positions at Donaldson, Lufkin, and Jenrette) and, before launching his entrepreneurial endeavours, worked in telecommunications and distressed debt industries. Mr. Spangenberg was a Periclean Scholar at Skidmore College, a Distinguished Graduate with an M.Sc. from The London School of Economics and was on Law Review at Case Western Reserve University, where he earned his Juris Doctorate. Mr. Spangenberg was the first outside investor in the Company in 2011, previously served on the Company’s Board of Directors from 2011-2022 and is the Company’s largest outside stockholder.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Liability and Indemnification of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entered into indemnification agreements with each of our directors and executive officers. The indemnification agreements require the Company to indemnify its directors and executive officers to the fullest extent permitted by Delaware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maintains a directors’ and officers’ insurance policy pursuant to which our directors and officers are insured against liability for actions taken in their capacities as directors and officers. We believe these provisions in the Charter, Bylaws and indemnification agreements are necessary to attract and retain qualified persons as directors and officers.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details regarding the related party transactions between the Company and its other anticipated executive officers and directors, see the sections entitled “</w:t>
      </w:r>
      <w:r>
        <w:rPr>
          <w:rFonts w:ascii="Times New Roman PS Std;serif" w:hAnsi="Times New Roman PS Std;serif"/>
          <w:b w:val="false"/>
          <w:i/>
          <w:caps w:val="false"/>
          <w:smallCaps w:val="false"/>
          <w:sz w:val="20"/>
        </w:rPr>
        <w:t>Certain Relationships and Related Party Transactions.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structured our corporate governance in a manner we believe closely aligns our interest with those of our stockholders. Notable features of our corporate governance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independent director representation on our audit, compensation and nominating and corporate governance committees, and our independent directors will meet regularly in executive sessions without the presence of our corporate officers or non-independent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one of our directors will qualify as an “audit committee financial expert” as defined by the SEC.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executive officer serves at the discretion of our Board and holds office until his or her successor is duly appointed or until his or her earlier resignation or removal. There are no family relationships among any of our directors and 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Composition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consists of seven directors. Each of our current directors will continue to serve as a director until the election and qualification of his or her successor or until his or her earlier death, resignation or removal. The authorized number of directors may be changed by resolution of our Board. Vacancies on our Board may be filled by resolution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consists of (i) Wensheng Fan, (ii) Cynthia Cai, (iii) Richard Cotton, (iv) Martin Mellish, (v) Michael P. Murphy, (vi) Deepak Sadagopan and (vii) Erich Spangenberg. Our Board is chaired by Mr. Cotton.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 directors qualify as “independent directors” under Nasdaq listing rules, namely, Cynthia Cai, Richard Cotton, Martin Mellish, and Deepak Sadagopan. For more details, see the section entitled “</w:t>
      </w:r>
      <w:r>
        <w:rPr>
          <w:rFonts w:ascii="Times New Roman PS Std;serif" w:hAnsi="Times New Roman PS Std;serif"/>
          <w:b w:val="false"/>
          <w:i/>
          <w:caps w:val="false"/>
          <w:smallCaps w:val="false"/>
          <w:sz w:val="20"/>
        </w:rPr>
        <w:t>Independence of our Board of Directors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meeting of stockholders at which directors are to be elected, the number of directors elected may not exceed the greatest number of directors then in office in any class of directors. Beginning with the Company’s first annual meeting of stockholders, the directors shall be elected to hold office for a term expiring at the next annual meeting of stockholders of the Company and until his or her successor shall be elected and qualified, or until his or her earlier death, resignation, retirement, disqualification or removal from office. Subject to the rights, if any, of the holders of any series of preferred stock to elect additional directors under circumstances specified in a preferred stock designation, directors may be elected by the stockholders only at an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is chaired by Mr. Cotton, a non-executive director. The Chairperson is responsible for the management, development and effective performance of the Board of Directors and provides leadership to the Board of Directors and the management team.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Independence of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information provided by each director concerning his or her background, employment, and affiliations, our Board has determined that the Board meets independence standards under the applicable rules and regulations of the SEC and the listing standards of Nasdaq.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and the transactions involving them described in the section titled “</w:t>
      </w:r>
      <w:r>
        <w:rPr>
          <w:rFonts w:ascii="Times New Roman PS Std;serif" w:hAnsi="Times New Roman PS Std;serif"/>
          <w:b w:val="false"/>
          <w:i/>
          <w:caps w:val="false"/>
          <w:smallCaps w:val="false"/>
          <w:sz w:val="20"/>
        </w:rPr>
        <w:t>Certain Relationships and Related Party Transactions.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Committees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four standing committees: an executive committee; an audit committee; a compensation committee; and a nominating and governance committee. Each of the committees reports to the Board as it deems appropriate and as the Board may request. The composition, duties and responsibilities of these committees are set forth below. In the future, our Board may establish other committees, as it deems appropriate, to assist it with its responsibilities.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Board’s meeting on November 10, 2023, the Board authorized the adoption of an executive committee which shall, during the intervals between meetings of the Board, have all delegable power and authority of the Board regarding the management of the business and affairs of the Company that are not separately delegated to other committees of the Board. In addition, the executive committee shall assist the Company in discussing and reviewing all manner of significant financial transactions and related opportunities prior to review and approval or denial by the Board. The executive committee is comprised of between one and four members of the Board and currently consists of Erich Spangenberg (Chairman), Richard Cotton, Wensheng Fan and Martin Mellish.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adopted a new written charter for the executive committee, which is available on our website.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provides assistance to our Board in fulfilling its legal and fiduciary obligations in matters involving our accounting, auditing, financial reporting and legal compliance functions by approving the services performed by our independent registered public accounting firm and reviewing their reports regarding our accounting practices and systems of internal accounting controls. The audit committee also oversees the audit efforts of our independent registered public accounting firm and takes those actions as it deems necessary to satisfy itself that the independent registered public accounting firm is independent of management. The rules of Nasdaq and Rule 10A-3 of the Exchange Act require that the audit committee of a listed company be comprised solely of independent directors. Our audit committee meets the requirements for independence of audit committee members under applicable SEC and Nasdaq rules. All of the members of our audit committee (Martin Mellish (Chairperson), Richard Cotton and Deepak Sadagopan) meet the requirements for financial literacy under the applicable rules and regulations of the SEC and Nasdaq. In addition, Mr. Mellish qualifies as our “audit committee financial expert,” as such term is defined in Item 407 of Regulation 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adopted a new written charter for the audit committee, which is available on our website. The information on our website is not intended to form a part of or be incorporated by reference into this registration statement.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determines our general compensation policies and the compensation provided to our officers. The compensation committee also makes recommendations to our Board regarding director compensation. In addition, the compensation committee reviews and determines security-based compensation for our directors, officers, employees and consultants and will administer our equity incentive plans. Our compensation committee also oversees our corporate compensation programs. Our compensation committee consists of Cynthia Cai (Chairperson) and Martin Mellish. The composition of our compensation committee satisfies Nasdaq’s additional independence standards for compensation committee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adopted a new written charter for the compensation committee, which is available on our website.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is responsible for making recommendations to our Board regarding candidates for directorships and the size and composition of the Board, and consists of Erich Spangenberg (Chairperson), Richard Cotton and Cynthia Cai. In addition, the nominating and corporate governance committee is responsible for overseeing our corporate governance and reporting and making recommendations to the Board concerning corporate governance matters. The following member(s) of our nominating and corporate governance committee are independent, as defined under the Nasdaq listing rules: Richard Cotton and Cynthia Cai.</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adopted a new written charter for the nominating and corporate governance committee, which will be available on our website after adoption.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Role of Our Board of Directors in Risk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key functions of our Board is informed oversight of our risk management process. Our Board administers this oversight function directly through our Board as a whole, as well as through various standing committees of our Board that address risks inherent in their respective areas of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our Board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has the responsibility to review with management the process by which risk assessment and management is undertaken, monitor compliance with legal and regulatory requirements, and review the adequacy and effectiveness of our internal controls over financial reporting. Our nominating and corporate governance committee is responsible for periodically evaluating our corporate governance policies and systems in light of the governance risks that we face and the adequacy of our policies and procedures designed to address such risks. Our compensation committee assesses and monitors whether any of our compensation plans, policies and programs comply with applicable legal and regulatory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Business Conduct and Ethics for Employees, Executive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adopted a Code of Business Conduct and Ethics (the “Code of Conduct”), applicable to all of our employees, executive officers and directors, including our Chief Executive Officer, Chief Financial Officer and other executive and senior financial officers. The Code of Conduct is available on our website. Any amendments to the Code of Conduct, or any waivers of its requirements, are expected to be disclosed on its website to the extent required by applicable rules and exchange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 Guidelines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set of corporate governance guidelines to provide the framework for the governance of our Board and to assist our Board in the exercise of its responsibilities. These guidelines reflect our Board’s commitment to monitoring the effectiveness of policy and decision-making both at the board and management levels, with a view to enhancing stockholder value over the long term. The corporate governance guidelines are available on our website.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the Company’s Executive Officers and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Employment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employment agreements with certain of our executive officers that govern certain terms and conditions of such executive officers’ employment as executive officers of the Company. The employment agreements with each of Wensheng Fan, Nils Windler and Dr. Niko Pagoulatos are described under “</w:t>
      </w:r>
      <w:r>
        <w:rPr>
          <w:rFonts w:ascii="Times New Roman PS Std;serif" w:hAnsi="Times New Roman PS Std;serif"/>
          <w:b w:val="false"/>
          <w:i/>
          <w:caps w:val="false"/>
          <w:smallCaps w:val="false"/>
          <w:sz w:val="20"/>
        </w:rPr>
        <w:t>Executive Officer and Director Compensation — Employment Agreements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Overview of Anticipated Executive Compensation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Decisions with respect to the compensation of the Company’s executive officers, including our named executive officers, are made by the compensation committee of our Board. The following discussion is based on the current and expected compensation of our named executive officers and directors. The actual compensation of our named executive officers will depend on the judgment of the members of the compensation committee and may differ from that set forth in the following discussion. Such compensation will also generally be governed by our executive officers’ employment agreements, as in effect from time to time, including as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for our executive officers has the following components: base salary, cash bonus opportunities, equity compensation, employee benefits, executive perquisites and severance benefits. Base salaries, employee benefits, executive perquisites and severance benefits are designed to attract and retain senior management talent. We also use annual cash bonuses and equity awards to promote performance-based pay that aligns the interests of our named executive officers with the long-term interests of its equity-owners and to enhance executive retention.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Annual Bonuses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annual cash incentive bonuses for the named executive officers to motivate their achievement of short-term performance goals and tie a portion of their cash compensation to performance. We expect that, near the beginning of each year, the compensation committee will select the performance targets, target amounts, target award opportunities and other terms and conditions of annual cash bonuses for the named executive officers, subject to the terms of their employment agreements. Following the end of each year, the compensation committee will determine the extent to which the performance targets were achieved and the amount of the award that is payable to the named executive officers.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Equity-Based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equity-based awards in future years to promote our interest by providing these executives with the opportunity to acquire equity interests as an incentive for their remaining in our service and aligning the executives’ interests with those of its equity 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various employee benefit plans to employees and other benefits to named executive officers of the Company, which are the same or similar to those currently offered by the Company. For more information, see “</w:t>
      </w:r>
      <w:r>
        <w:rPr>
          <w:rFonts w:ascii="Times New Roman PS Std;serif" w:hAnsi="Times New Roman PS Std;serif"/>
          <w:b w:val="false"/>
          <w:i/>
          <w:caps w:val="false"/>
          <w:smallCaps w:val="false"/>
          <w:sz w:val="20"/>
        </w:rPr>
        <w:t>Executive Officer and Director Compensation — Narrative Disclosure to Summary Compensation Table</w:t>
      </w:r>
      <w:r>
        <w:rPr>
          <w:rFonts w:ascii="Times New Roman PS Std;serif" w:hAnsi="Times New Roman PS Std;serif"/>
          <w:b w:val="false"/>
          <w:i w:val="false"/>
          <w:caps w:val="false"/>
          <w:smallCaps w:val="false"/>
          <w:sz w:val="20"/>
        </w:rPr>
        <w:t>.” We may also provide our named executive officers with perquisites and personal benefits that are not generally available to all employees.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approved a non-employee director compensation program. We believe director compensation is in accordance with industry practice and standards.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 AND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Throughout this section, unless otherwise noted, “the Company,” “we,” “us,” “our</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Spectral</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caps w:val="false"/>
          <w:smallCaps w:val="false"/>
          <w:sz w:val="20"/>
        </w:rPr>
        <w:t>similar terms refer to Legacy Spectral prior to the Business Combination and Spectral after the consummation of the Business Combination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Upon the consummation of the Business Combination, the executive officers of Legacy Spectral became the executive officers of Spectral</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“emerging growth company” as defined in the JOBS Act, we are not required to include a Compensation Discussion and Analysis section and have opted to comply with the scaled disclosure requirements applicable to emerging growth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named executive officer and director compensation described in this section discusses our 2023 compensation programs. This discussion may contain forward-looking statements that are based on the Company’s current plans, considerations, expectations and determinations regarding future compensation programs.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8" w:name="T8"/>
      <w:bookmarkEnd w:id="18"/>
      <w:r>
        <w:rPr>
          <w:rFonts w:ascii="Times New Roman PS Std;serif" w:hAnsi="Times New Roman PS Std;serif"/>
          <w:b/>
          <w:i w:val="false"/>
          <w:caps w:val="false"/>
          <w:smallCaps w:val="false"/>
          <w:sz w:val="20"/>
        </w:rPr>
        <w:t>Executive and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Spectral Board of Directors, with input from our Chief Executive Officer, has historically determined the compensation for our named executive officers. Our named executive officers for the fiscal year ended December 31, 2023, which consist of our principal executive officer, principal financial officer and the next three most highly compensated executive officers who were serving as executive officers as of December 31, 2023,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Wensheng Fan, Chief Executive Officer;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Nils Windler, Chief Financial Officer;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Niko Pagoulatos;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Vincent Capone;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Christine Marks.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compensation earned by each of our named executive officers for the fiscal year ended December 31, 2023.</w:t>
      </w:r>
    </w:p>
    <w:tbl>
      <w:tblPr>
        <w:tblW w:w="10990" w:type="dxa"/>
        <w:jc w:val="left"/>
        <w:tblInd w:w="0" w:type="dxa"/>
        <w:tblLayout w:type="fixed"/>
        <w:tblCellMar>
          <w:top w:w="0" w:type="dxa"/>
          <w:left w:w="0" w:type="dxa"/>
          <w:bottom w:w="0" w:type="dxa"/>
          <w:right w:w="0" w:type="dxa"/>
        </w:tblCellMar>
      </w:tblPr>
      <w:tblGrid>
        <w:gridCol w:w="3061"/>
        <w:gridCol w:w="146"/>
        <w:gridCol w:w="586"/>
        <w:gridCol w:w="146"/>
        <w:gridCol w:w="886"/>
        <w:gridCol w:w="146"/>
        <w:gridCol w:w="886"/>
        <w:gridCol w:w="146"/>
        <w:gridCol w:w="856"/>
        <w:gridCol w:w="146"/>
        <w:gridCol w:w="931"/>
        <w:gridCol w:w="146"/>
        <w:gridCol w:w="1651"/>
        <w:gridCol w:w="146"/>
        <w:gridCol w:w="1111"/>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Bonus </w:t>
              <w:br/>
              <w:t>($)</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Awards(1) </w:t>
              <w:br/>
              <w: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Compensation(2) </w:t>
              <w:b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Wensheng Fan</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525,000</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385,000</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370,806</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88,758</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1,369,564</w:t>
            </w:r>
          </w:p>
        </w:tc>
      </w:tr>
      <w:tr>
        <w:trPr/>
        <w:tc>
          <w:tcPr>
            <w:tcW w:w="306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Nils Windler(3)</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117,056</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33,122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560,177</w:t>
            </w:r>
          </w:p>
        </w:tc>
      </w:tr>
      <w:tr>
        <w:trPr/>
        <w:tc>
          <w:tcPr>
            <w:tcW w:w="306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Niko Pagoulatos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78,611</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33,423</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462,035</w:t>
            </w:r>
          </w:p>
        </w:tc>
      </w:tr>
      <w:tr>
        <w:trPr/>
        <w:tc>
          <w:tcPr>
            <w:tcW w:w="306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Operating Officer</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Vincent Capone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65,000</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97,010</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34,616</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546,626</w:t>
            </w:r>
          </w:p>
        </w:tc>
      </w:tr>
      <w:tr>
        <w:trPr/>
        <w:tc>
          <w:tcPr>
            <w:tcW w:w="306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Counsel</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Christine Marks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286,500</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23,354</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22,818</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372,672</w:t>
            </w:r>
          </w:p>
        </w:tc>
      </w:tr>
      <w:tr>
        <w:trPr/>
        <w:tc>
          <w:tcPr>
            <w:tcW w:w="3061" w:type="dxa"/>
            <w:tcBorders/>
            <w:vAlign w:val="bottom"/>
          </w:tcPr>
          <w:p>
            <w:pPr>
              <w:pStyle w:val="TableContents"/>
              <w:keepNext w:val="false"/>
              <w:widowControl/>
              <w:pBdr/>
              <w:bidi w:val="0"/>
              <w:spacing w:before="0" w:after="283"/>
              <w:ind w:left="2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Vice President, Marketing &amp; Commercialization</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shown in this column represent the grant date fair values of option awards granted in 2023 as computed in accordance with Financial Accounting Standards Board (FASB) Accounting Standard Codification Topic 718. See Note 12 to the consolidated financial statements for a discussion of the assumptions used in the calculation of these amounts.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Mr. Fan, the amount included in this column consists of $51,777 for his participation as an executive member of our board of directors; $17,893 representing matching contributions to Mr. Fan’s 401(K) plan and $19,088 for health benefits provided to him.</w:t>
      </w:r>
    </w:p>
    <w:p>
      <w:pPr>
        <w:pStyle w:val="TextBody"/>
        <w:keepNext w:val="false"/>
        <w:pageBreakBefore w:val="false"/>
        <w:widowControl/>
        <w:pBdr/>
        <w:bidi w:val="0"/>
        <w:spacing w:before="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 Mr. Windler, the amount included in this column consists of $15,272 representing matching contributions to Mr. Windler’s 401(K) plan and $17,850 for health benefits provided to him.</w:t>
      </w:r>
    </w:p>
    <w:p>
      <w:pPr>
        <w:pStyle w:val="TextBody"/>
        <w:keepNext w:val="false"/>
        <w:pageBreakBefore w:val="false"/>
        <w:widowControl/>
        <w:pBdr/>
        <w:bidi w:val="0"/>
        <w:spacing w:before="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 Dr. Pagoulatos, the amount in this column consists of $15,563 in matching contributions to Dr. Pagoulatos’ 401(K) plan and $17,860 for health benefits provided to him.</w:t>
      </w:r>
    </w:p>
    <w:p>
      <w:pPr>
        <w:pStyle w:val="TextBody"/>
        <w:keepNext w:val="false"/>
        <w:pageBreakBefore w:val="false"/>
        <w:widowControl/>
        <w:pBdr/>
        <w:bidi w:val="0"/>
        <w:spacing w:before="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 Mr. Capone, the amount in this column consists of $20,275 in matching contributions to Mr. Capone’s 401(K) plan and $14,341 for health benefits provided to him.</w:t>
      </w:r>
    </w:p>
    <w:p>
      <w:pPr>
        <w:pStyle w:val="TextBody"/>
        <w:keepNext w:val="false"/>
        <w:pageBreakBefore w:val="false"/>
        <w:widowControl/>
        <w:pBdr/>
        <w:bidi w:val="0"/>
        <w:spacing w:before="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 Ms. Marks, the amount in this column consists of $17,062 in matching contributions to Ms. Marks’ 401(K) plan and $5,756 for health benefits provided to her.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Mr. Windler resigned as our Chief Financial Officer effective January 3,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Narrative Disclosure to Summary Compensation Table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Base Salary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each named executive officer with a base salary for the services that the executive officer performs for us. This compensation component constitutes a stable element of compensation while other compensation elements are variable. Base salaries are reviewed annually and may be increased based on the individual performance of the named executive officer, company performance, any change in the executive’s position within our business, the scope of their responsibilities and market data.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Equity Incentive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previously maintained the Spectral MD Holdings, Ltd. 2018 Long Term Incentive Plan (the “2018 Plan”), which provided for the discretionary grant of incentive stock options, non-qualified stock options, stock appreciation rights, restricted stock, stock units, performance shares, performance units, incentive bonus awards and other cash-based or stock-based awards to our eligible employees, directors and consultants, including the named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2022, we adopted the Spectral MD Holdings, Ltd. 2022 Long Term Incentive Plan (the “2022 Plan”). The 2022 Plan provides for the discretionary grant of incentive stock options, non-qualified stock options, stock appreciation rights, restricted stock, stock units, performance shares, performance units, incentive bonus awards and other cash-based or stock-based awards to our employees, directors and consultants.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2023, we awarded options to key employees (including our named executive officers) for retention, engagement and bonus compensation awards. These awards are designed to align a portion of our named executive officers’ compensation with the interests of our existing stockholders and to build retention value by incentivizing our named executive officers to remain in our service. For information on the grant dates, vesting terms and expiration terms, as applicable, of these equity awards, as well as other outstanding stock options under the 2018 Plan and 2022 Plan. See the Outstanding Equity Awards at 2023 Fiscal Year-End Table.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Health and Retirement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medical, dental, vision, life insurance and disability benefits to all eligible employees. Our named executive officers are eligible to participate in these benefits on the same basis as all other employees. We maintain a 401(k) savings plan that allows participants, including our named executive officers, to defer cash compensation into the plan up to the maximum annual deferral limit under applicable IRS guidelines. Eligible employees begin to receive benefits on their first day of employment and are fully vested in their salary deferrals. We provide fully vested safe-harbor employer matching contributions equal to 100% of the first 6% of cash compensation deferred into the 401(k) plan by participants for each year.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2023 Fiscal Year-End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regarding outstanding equity awards held by each of our named executive officers as of December 31, 2023</w:t>
      </w:r>
    </w:p>
    <w:tbl>
      <w:tblPr>
        <w:tblW w:w="9481" w:type="dxa"/>
        <w:jc w:val="left"/>
        <w:tblInd w:w="0" w:type="dxa"/>
        <w:tblLayout w:type="fixed"/>
        <w:tblCellMar>
          <w:top w:w="0" w:type="dxa"/>
          <w:left w:w="0" w:type="dxa"/>
          <w:bottom w:w="0" w:type="dxa"/>
          <w:right w:w="0" w:type="dxa"/>
        </w:tblCellMar>
      </w:tblPr>
      <w:tblGrid>
        <w:gridCol w:w="2326"/>
        <w:gridCol w:w="146"/>
        <w:gridCol w:w="1186"/>
        <w:gridCol w:w="146"/>
        <w:gridCol w:w="1426"/>
        <w:gridCol w:w="146"/>
        <w:gridCol w:w="1546"/>
        <w:gridCol w:w="146"/>
        <w:gridCol w:w="1006"/>
        <w:gridCol w:w="146"/>
        <w:gridCol w:w="1261"/>
      </w:tblGrid>
      <w:tr>
        <w:trPr/>
        <w:tc>
          <w:tcPr>
            <w:tcW w:w="2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09" w:type="dxa"/>
            <w:gridSpan w:val="9"/>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 Awards(1)</w:t>
            </w:r>
          </w:p>
        </w:tc>
      </w:tr>
      <w:tr>
        <w:trPr/>
        <w:tc>
          <w:tcPr>
            <w:tcW w:w="2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Grant </w:t>
              <w:br/>
              <w:t>Date</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 </w:t>
              <w:br/>
              <w:t>Exercisable</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 </w:t>
              <w:br/>
              <w:t>Unexercisable</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Exercise </w:t>
              <w:br/>
              <w:t xml:space="preserve">Price </w:t>
              <w:b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Expiration </w:t>
              <w:br/>
              <w:t>Date</w:t>
            </w:r>
          </w:p>
        </w:tc>
      </w:tr>
      <w:tr>
        <w:trPr/>
        <w:tc>
          <w:tcPr>
            <w:tcW w:w="2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Wensheng Fan(2)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5/1/2019</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872,939</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5/1/2029</w:t>
            </w:r>
          </w:p>
        </w:tc>
      </w:tr>
      <w:tr>
        <w:trPr/>
        <w:tc>
          <w:tcPr>
            <w:tcW w:w="2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6/25/2020</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261,882</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6/25/2030</w:t>
            </w:r>
          </w:p>
        </w:tc>
      </w:tr>
      <w:tr>
        <w:trPr/>
        <w:tc>
          <w:tcPr>
            <w:tcW w:w="2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6/25/2020</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87,294</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6/25/2030</w:t>
            </w:r>
          </w:p>
        </w:tc>
      </w:tr>
      <w:tr>
        <w:trPr/>
        <w:tc>
          <w:tcPr>
            <w:tcW w:w="2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11/20/2020</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34,779</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11/20/2023</w:t>
            </w:r>
          </w:p>
        </w:tc>
      </w:tr>
      <w:tr>
        <w:trPr/>
        <w:tc>
          <w:tcPr>
            <w:tcW w:w="2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1/15/2021</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228,128</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114,064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1/15/2031</w:t>
            </w:r>
          </w:p>
        </w:tc>
      </w:tr>
      <w:tr>
        <w:trPr/>
        <w:tc>
          <w:tcPr>
            <w:tcW w:w="2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10/8/2021</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6,466</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10/8/2031</w:t>
            </w:r>
          </w:p>
        </w:tc>
      </w:tr>
      <w:tr>
        <w:trPr/>
        <w:tc>
          <w:tcPr>
            <w:tcW w:w="2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2/3/2022</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25,865</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51,730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2/3/2032</w:t>
            </w:r>
          </w:p>
        </w:tc>
      </w:tr>
      <w:tr>
        <w:trPr/>
        <w:tc>
          <w:tcPr>
            <w:tcW w:w="2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4/13/2023</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22,044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4/13/2033</w:t>
            </w:r>
          </w:p>
        </w:tc>
      </w:tr>
      <w:tr>
        <w:trPr/>
        <w:tc>
          <w:tcPr>
            <w:tcW w:w="2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4/13/2023</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66,705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4/13/2033</w:t>
            </w:r>
          </w:p>
        </w:tc>
      </w:tr>
      <w:tr>
        <w:trPr/>
        <w:tc>
          <w:tcPr>
            <w:tcW w:w="2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r>
      <w:tr>
        <w:trPr/>
        <w:tc>
          <w:tcPr>
            <w:tcW w:w="2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Nils Windler(3)</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12/17/2021</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64,662</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32,331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12/17/2031</w:t>
            </w:r>
          </w:p>
        </w:tc>
      </w:tr>
      <w:tr>
        <w:trPr/>
        <w:tc>
          <w:tcPr>
            <w:tcW w:w="2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4/13/2023</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12,932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4/13/2033</w:t>
            </w:r>
          </w:p>
        </w:tc>
      </w:tr>
      <w:tr>
        <w:trPr/>
        <w:tc>
          <w:tcPr>
            <w:tcW w:w="2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4/13/2023</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4/13/2033</w:t>
            </w:r>
          </w:p>
        </w:tc>
      </w:tr>
      <w:tr>
        <w:trPr/>
        <w:tc>
          <w:tcPr>
            <w:tcW w:w="2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r>
      <w:tr>
        <w:trPr/>
        <w:tc>
          <w:tcPr>
            <w:tcW w:w="2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Niko Pagoulatos(4)</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11/07/2022</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26,219</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52,424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11/07/2032</w:t>
            </w:r>
          </w:p>
        </w:tc>
      </w:tr>
      <w:tr>
        <w:trPr/>
        <w:tc>
          <w:tcPr>
            <w:tcW w:w="2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11/07/2022</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8,810</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11/07/2032</w:t>
            </w:r>
          </w:p>
        </w:tc>
      </w:tr>
      <w:tr>
        <w:trPr/>
        <w:tc>
          <w:tcPr>
            <w:tcW w:w="2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r>
      <w:tr>
        <w:trPr/>
        <w:tc>
          <w:tcPr>
            <w:tcW w:w="2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Vincent Capone(5)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5/06/2022</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22,395</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44,790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5/06/2032</w:t>
            </w:r>
          </w:p>
        </w:tc>
      </w:tr>
      <w:tr>
        <w:trPr/>
        <w:tc>
          <w:tcPr>
            <w:tcW w:w="2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5/06/2022</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3,470</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5/06/2032</w:t>
            </w:r>
          </w:p>
        </w:tc>
      </w:tr>
      <w:tr>
        <w:trPr/>
        <w:tc>
          <w:tcPr>
            <w:tcW w:w="2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4/13/2023</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4/13/2033</w:t>
            </w:r>
          </w:p>
        </w:tc>
      </w:tr>
      <w:tr>
        <w:trPr/>
        <w:tc>
          <w:tcPr>
            <w:tcW w:w="2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4/13/2023</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12,027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4/13/2033</w:t>
            </w:r>
          </w:p>
        </w:tc>
      </w:tr>
      <w:tr>
        <w:trPr/>
        <w:tc>
          <w:tcPr>
            <w:tcW w:w="2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6/29/2023</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6/01/2033</w:t>
            </w:r>
          </w:p>
        </w:tc>
      </w:tr>
      <w:tr>
        <w:trPr/>
        <w:tc>
          <w:tcPr>
            <w:tcW w:w="2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6/29/2023</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12,932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6/01/2033</w:t>
            </w:r>
          </w:p>
        </w:tc>
      </w:tr>
      <w:tr>
        <w:trPr/>
        <w:tc>
          <w:tcPr>
            <w:tcW w:w="2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r>
      <w:tr>
        <w:trPr/>
        <w:tc>
          <w:tcPr>
            <w:tcW w:w="2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Christine Marks(6)</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5/06/2022</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6,466</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12,933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5/06/2032</w:t>
            </w:r>
          </w:p>
        </w:tc>
      </w:tr>
      <w:tr>
        <w:trPr/>
        <w:tc>
          <w:tcPr>
            <w:tcW w:w="2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4/13/2023</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7,274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5/06/2032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Each of the options granted were incentive stock options and were issued at their then current fair market value.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options awarded to Mr. Fan vest in three equal annual installments beginning on the grant date, subject to his continued provision of service to us on each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options awarded to Mr. Windler vest in three equal annual installments beginning on the grant date, subject to his continued provision of service to us on each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options awarded to Dr. Pagoulatos vest in three equal annual installments beginning on the grant date, subject to his continued provision of service to us on each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options awarded to Mr. Capone vest in three equal annual installments beginning on the grant date, subject to his continued provision of service to us on each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 options awarded to Ms. Marks vest in three equal annual installments beginning on the grant date, subject to his continued provision of service to us on each vesting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Retirement Benefits, Termination and Change in Control Provisions at December 31,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year 2023, our executive officers (including our named executive officers) were eligible to participate in our 401(k) plan, as described above under “</w:t>
      </w:r>
      <w:r>
        <w:rPr>
          <w:rFonts w:ascii="Times New Roman PS Std;serif" w:hAnsi="Times New Roman PS Std;serif"/>
          <w:b w:val="false"/>
          <w:i/>
          <w:caps w:val="false"/>
          <w:smallCaps w:val="false"/>
          <w:sz w:val="20"/>
        </w:rPr>
        <w:t>Executive Officer and Director Compensation — Health and Retirement Benefits</w:t>
      </w:r>
      <w:r>
        <w:rPr>
          <w:rFonts w:ascii="Times New Roman PS Std;serif" w:hAnsi="Times New Roman PS Std;serif"/>
          <w:b w:val="false"/>
          <w:i w:val="false"/>
          <w:caps w:val="false"/>
          <w:smallCaps w:val="false"/>
          <w:sz w:val="20"/>
        </w:rPr>
        <w:t>.” There were no other pension or retirement benefits pursuant to any existing plan provided or contributed to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2018 Plan provides that upon a “Change in Control” (as defined therein), our remuneration committee may accelerate the vesting of options granted pursuant to the 2018 Plan or make such adjustments to the existing grants as the committee deems appropriate to reflect such Change in Control transaction. Upon a termination of employment of our executive officers, all options granted under the 2018 Plan are required to be exercised within 90 days of termination of such executive’s employment with us or such options will be forfeited and included back in the 2018 Plan.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Non-Employee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2023, Spectral paid its non-executive and executive directors cash compensation for their contributions to the operations of the business. The following table provides the compensation amounts for each executive and non-executive member of the Board of Directors for 2023:</w:t>
      </w:r>
    </w:p>
    <w:tbl>
      <w:tblPr>
        <w:tblW w:w="7264" w:type="dxa"/>
        <w:jc w:val="left"/>
        <w:tblInd w:w="0" w:type="dxa"/>
        <w:tblLayout w:type="fixed"/>
        <w:tblCellMar>
          <w:top w:w="0" w:type="dxa"/>
          <w:left w:w="0" w:type="dxa"/>
          <w:bottom w:w="0" w:type="dxa"/>
          <w:right w:w="0" w:type="dxa"/>
        </w:tblCellMar>
      </w:tblPr>
      <w:tblGrid>
        <w:gridCol w:w="2281"/>
        <w:gridCol w:w="146"/>
        <w:gridCol w:w="916"/>
        <w:gridCol w:w="146"/>
        <w:gridCol w:w="916"/>
        <w:gridCol w:w="146"/>
        <w:gridCol w:w="1636"/>
        <w:gridCol w:w="146"/>
        <w:gridCol w:w="931"/>
      </w:tblGrid>
      <w:tr>
        <w:trPr/>
        <w:tc>
          <w:tcPr>
            <w:tcW w:w="22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w:t>
              <w:br/>
              <w:t xml:space="preserve">Earned </w:t>
              <w:br/>
              <w:t xml:space="preserve">or Paid </w:t>
              <w:br/>
              <w:t xml:space="preserve">in Cash </w:t>
              <w:b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 </w:t>
              <w:br/>
              <w: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Mellish</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93,509</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32,270</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125,779</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Gerry Beaney(1)</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58,985</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58,985</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Richard Cotton</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88,983</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32,270</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121,253</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Cynthia Cai</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73,445</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32,270</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105,715</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Erich Spangenberg(2)</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6,525</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16,525</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Deepak Sadagopan(3)</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Mr. Beaney resigned from the Board on September 8, 2023 in connection with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Mr. Spangenberg joined the Board on November 27,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Deepak Sadagopan joined the Board on September 11, 2023 in connection with the closing of the Business Combination.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 and Director Compensation Arrangements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equity-based awards for Spectral’s named executive officers were treated in accordance with the terms of the Business Combination Agreement and converted into equity-based awards that settle in shares of the Company’s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RCLF and Spectral waived the requirement in the Business Combination Agreement that RCLF approve and adopt the Equity Incentive Plan to be effective in connection with the Business Combination. Instead, the Company will seek to approve and adopt a new equity incentive plan at its first annual meeting following the Business Combination, pursuant to the terms of the Business Combination Agreement, which shall provide for an aggregate share reserve thereunder equal to (a) such number of shares of Common Stock sufficient to satisfy all Legacy Spectral Options plus (b) no more than 15% of RCLF’s fully-diluted outstanding stock immediately after the Business Combination. The Equity Incentive Plan shall also include a customary 5% evergreen provision.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entered into employment agreements (the “Executive Employment Agreements”) with each of Wensheng Fan, Nils Windler and Dr. Niko Pagoulatos, that govern certain terms and conditions of such executive officers’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employment with us. The Executive Employment Agreements provide for base salary, eligibility to receive an annual bonus, eligibility to receive certain severance benefits upon involuntary terminations of employment, as well as customary confidentiality, assignment of intellectual property provisions, and certain restrictive covenants, including post-employment non-solicitation provisions.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Non-Employee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expects to review director compensation periodically to ensure that director compensation remains competitive such that we are able to recruit and retain qualified directors. The Company has adopted a director compensation program that is designed to align compensation with its business objectives and the creation of stockholder value, while enabling the Company to attract, retain, incentivize and reward directors who contribute to the long-term success of the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7"/>
      <w:bookmarkEnd w:id="19"/>
      <w:r>
        <w:rPr>
          <w:rFonts w:ascii="Times New Roman PS Std;serif" w:hAnsi="Times New Roman PS Std;serif"/>
          <w:b/>
          <w:i w:val="false"/>
          <w:caps w:val="false"/>
          <w:smallCaps w:val="false"/>
          <w:sz w:val="20"/>
        </w:rPr>
        <w:t>CERTAIN RELATIONSHIPS AND RELATED PARTY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Relationships and Related Person Transactions —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Original Registration Rights Agreement/Lock-Up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Business Combination Agreement, at the Closing, the Company, Sponsor and certain stockholders of Spectral entered into the Original Registration Rights/Lock-Up Agreement, pursuant to which, among other things, the Company agreed to register for resale, pursuant to Rule 415 under the Securities Act, certain shares of Common Stock and other equity securities of the Company that are held by the parties thereto from time to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Relationships and Related Person Transactions — RCLF</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period ended December 31, 2020, the Sponsor paid $25,000 to cover certain of RCLF’s offering costs in exchange for 5,750,000 Founder Shares. On February 11, 2021, RCLF effected a 1:1.1 stock split of its Class B common stock, resulting in an aggregate of 6,325,000 shares outstanding. All share and per-share amounts have been retroactively restated to reflect the stock split. The Founder Shares included an aggregate of up to 825,000 shares subject to forfeiture to the extent that the underwriters’ over-allotment was not exercised in full or in part, so that the number of Founder Shares would equal, on an as-converted basis, approximately 20% of RCLF’s issued and outstanding common stock upon the consummation of the Initial Public Offering. As a result of the underwriter’s election to fully exercise its over-allotment option, no Founder Shares were subject to forfeiture. In connection with the Business Combination and pursuant to the Sponsor Letter Agreement, the Sponsor agreed to forfeit a certain number of Founder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 Due to Sponsor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December 31, 2022 and 2021, RCLF had advances owed to the Sponsor in the amount of $16,152 and $0,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Sponsor purchased an aggregate of 4,706,667 warrants in a private placement (the “Private Placement Warrants”) at a price of $1.50 per Private Placement Warrant ($7,060,000 in the aggregate) from RCLF in a private placement. Each whole Private Placement Warrant was exercisable to purchase one share of RCLF Class A common stock at a price of $11.50 per share, subject to adjustment. A portion of the proceeds from the sale of the Private Placement Warrants were added to the net proceeds from the Initial Public Offering held in the Trust Account. In connection with the Business Combination and pursuant to the Sponsor Letter Agreement, the Sponsor agreed to forfeit all of the Private Placement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Registration Rights Agreement entered into on February 11, 2021 (the “IPO Registration Rights Agreement”), the holders of the Founder Shares, Private Placement Warrants and warrants that may be issued upon conversion of Working Capital Loans (and any shares of RCLF Class A common stock issuable upon the exercise of the Private Placement Warrants or warrants that may be issued upon conversion of Working Capital Loans and upon conversion of the Founder Shares) will be entitled to registration rights requiring us to register such securities for resale (in the case of the Founder Shares, only after conversion to shares of RCLF Class A common stock). The holders of these securities were entitled to make up to three demands, excluding short form registration demands, that we register such securities. In addition, the holders had certain “piggy-back” registration rights with respect to registration statements filed subsequent to the completion of a Business Combination and rights to require us to register for resale such securities pursuant to Rule 415 under the Securities Act. However, the IPO Registration Rights Agreement provided that we would not be required to effect or permit any registration or cause any registration statement to become effective until termination of the applicable lock-up period. The IPO Registration Rights Agreement did not contain liquidated damages or other cash settlement provisions resulting from delays in registering our securities.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to bear the expenses incurred in connection with the filing of any such registration statements. In connection with the Business Combination, the registration rights agreement was amended and restated by the Original Registration Rights/Lock-up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Sponsor Letter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Business Combination Agreement, the Sponsor, RCLF and Legacy Spectral entered into the Sponsor Letter Agreement, pursuant to which, among other things, the Sponsor agreed to: (i) vote in favor of the Business Combination Agreement and the transactions contemplated thereby; (ii) vote against an arrangement, merger, amalgamation, consolidation, combination, sale of substantial assets, reorganization, recapitalization, dissolution or winding up of RCLF; (iii) vote against any changes in the business, management or RCLF’s board other than as required to effect the Business Combination; and (iv) vote against any action, agreement or transaction or proposal that would reasonably be expected to result in a breach of any covenant, representation or warranty or any other obligation or agreement of RCLF, Merger Sub I or Merger Sub II under the Business Combination Agreement or that would reasonably be expected to result in the failure of the Business Combination from being consummated in each case, on the terms and subject to the conditions set forth of the Sponsor Letter Agreement. In addition, the Sponsor agreed to (i) not redeem or elect to redeem or tender or submit any of its Subject Parent Equity Securities (as defined in the Sponsor Letter Agreement) and (ii) not, directly or indirectly, (a) sell, assign, transfer, pledge, dispose of or otherwise encumber any of the Subject Parent Equity Securities held by the Sponsor, (b) deposit any Subject Parent Equity Securities held by the Sponsor into a voting trust or enter into a voting agreement or arrangement or grant any proxy or power of attorney with respect to any Subject Parent Equity Securities held by the Sponsor that is inconsistent with the Sponsor Letter Agreement, or (c) enter into any contract, option or other arrangement or undertaking with respect to the direct or indirect acquisition or sale, assignment, transfer or other disposition of any Subject Parent Equity Securities held by the Sponsor.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Sponsor agreed to surrender and forfeit to RCLF the Private Placement Warrants. In addition, the Sponsor and RCLF, was required to notify Legacy Spectral if the accrued and unpaid Parent Expenses (as defined in the Sponsor Letter Agreement) then outstanding were expected to exceed $3,250,000 (the “Excess Expense Amount”). At Closing, the Sponsor took necessary actions such that the Sponsor Credit (as defined in the Sponsor Letter Agreement) equaled or exceeded the Excess Expense Amount;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Sponsor was not required to invest in the Sponsor PIPE (as defined below) if Sponsor elected to forfeit 750,000 Sponsor Shares (as defined below). The Sponsor was entitled to a $5.00 credit against the Excess Expense Amount for each Sponsor Share that the Sponsor forfeited and surrendered prior to the Closing. The Sponsor did not need to forfeit any Sponsor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Administrative Services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Commencing on February 11, 2021 through the earlier of the consummation of an initial Business Combination and the liquidation of RCLF, RCLF agreed to pay the Sponsor a total of $10,000 per month for office space, support and administrative services. For the three months ended March 31, 2023 and 2022, we accrued $30,000 and $30,000 in fees for these services, of which such amount is included in accrued expenses in the accompanying balance sheet.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Relationships and Related Person Transactions — Legacy Spectral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Legacy Spectral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January 1, 2020, Legacy Spectral did not have any transactions with related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Policies and Procedures for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the Business Combination, the Company adopted a written related person transaction policy that sets forth the following policies and procedures for the review and approval or ratification of related person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“Related Person” means: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or at any time during the applicable period was, one of the Company’s executive officers or a member of the Board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known by the Company to be the beneficial owner of more than 5% of its voting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of any of the foregoing persons, which means any child, stepchild, parent, stepparent, spouse, sibling, mother-in-law, father-in-law, daughter-in-law, brother-in-law or sister-in-law of a director, officer or a beneficial owner of more than 5% of the Company’s voting stock, and any person (other than a tenant or employee) sharing the household of such director, executive officer or beneficial owner of more than 5% of the Company’s voting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firm, corporation or other entity in which any of the foregoing persons is a partner or principal or in a similar position or in which such person has a 10% or greater beneficial ownership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also anticipated that the Company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0" w:name="T6"/>
      <w:bookmarkEnd w:id="20"/>
      <w:r>
        <w:rPr>
          <w:rFonts w:ascii="Times New Roman PS Std;serif" w:hAnsi="Times New Roman PS Std;serif"/>
          <w:b/>
          <w:i w:val="false"/>
          <w:caps/>
          <w:sz w:val="20"/>
        </w:rPr>
        <w:t>Beneficial Ownership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beneficial ownership of shares of our Common Stock as of January 2, 2024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by us to be the beneficial owner of more than 5%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is a named executive officer or director of the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executive officers and directors of the Company,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beneficial ownership of shares of common stock is calculated based on 16,294,935 shares of Common Stock outstanding as of January 2,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noted in the footnotes to the following table, and subject to applicable community property laws, the persons and entities named in the table have sole voting and investment power with respect to their beneficially owned common stock.</w:t>
      </w:r>
    </w:p>
    <w:tbl>
      <w:tblPr>
        <w:tblW w:w="10205" w:type="dxa"/>
        <w:jc w:val="left"/>
        <w:tblInd w:w="0" w:type="dxa"/>
        <w:tblLayout w:type="fixed"/>
        <w:tblCellMar>
          <w:top w:w="0" w:type="dxa"/>
          <w:left w:w="0" w:type="dxa"/>
          <w:bottom w:w="0" w:type="dxa"/>
          <w:right w:w="0" w:type="dxa"/>
        </w:tblCellMar>
      </w:tblPr>
      <w:tblGrid>
        <w:gridCol w:w="7626"/>
        <w:gridCol w:w="146"/>
        <w:gridCol w:w="1309"/>
        <w:gridCol w:w="146"/>
        <w:gridCol w:w="646"/>
        <w:gridCol w:w="332"/>
      </w:tblGrid>
      <w:tr>
        <w:trPr/>
        <w:tc>
          <w:tcPr>
            <w:tcW w:w="76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Owner(1)(2)</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Shares </w:t>
              <w:br/>
              <w:t xml:space="preserve">Beneficially </w:t>
              <w:br/>
              <w:t>Owned</w:t>
            </w:r>
          </w:p>
        </w:tc>
        <w:tc>
          <w:tcPr>
            <w:tcW w:w="146" w:type="dxa"/>
            <w:tcBorders/>
            <w:vAlign w:val="bottom"/>
          </w:tcPr>
          <w:p>
            <w:pPr>
              <w:pStyle w:val="TableContents"/>
              <w:bidi w:val="0"/>
              <w:spacing w:before="0" w:after="283"/>
              <w:jc w:val="left"/>
              <w:rPr/>
            </w:pPr>
            <w:r>
              <w:rPr/>
              <w:t> </w:t>
            </w:r>
          </w:p>
        </w:tc>
        <w:tc>
          <w:tcPr>
            <w:tcW w:w="97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Named Executive Officers of the Company</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6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Wensheng Fan(5)</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519,733</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Cynthia Cai</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6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Richard Cotton</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32,879</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Mellish</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6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P. Murphy(3)(4)</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848,333</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Deepak Sadagopan</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6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Niko Pagoulatos, Ph.D.(6)</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32,007</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Nils Windler(7)</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32,007</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6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Jeffrey Thatcher, Ph.D.(8)</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833,413</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Vincent Capone(9)</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32,104</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6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All Directors and Executive Officers of the Company as a Group (10 Individuals)</w:t>
            </w: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1,810,743</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6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Five Percent Holders</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Erich Spangenberg(11)</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4,736,151</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30.18</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Michael DiMaio(12)</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2,479,053</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Regents of the University of Texas System for the Benefit of the University of Texas Southwestern Medical Center(13)</w:t>
            </w:r>
          </w:p>
        </w:tc>
        <w:tc>
          <w:tcPr>
            <w:tcW w:w="14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862,269</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w:t>
            </w:r>
          </w:p>
        </w:tc>
        <w:tc>
          <w:tcPr>
            <w:tcW w:w="3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Octopus Investments plc(14)</w:t>
            </w:r>
          </w:p>
        </w:tc>
        <w:tc>
          <w:tcPr>
            <w:tcW w:w="146" w:type="dxa"/>
            <w:tcBorders/>
            <w:vAlign w:val="bottom"/>
          </w:tcPr>
          <w:p>
            <w:pPr>
              <w:pStyle w:val="TableContents"/>
              <w:bidi w:val="0"/>
              <w:spacing w:before="0" w:after="283"/>
              <w:jc w:val="left"/>
              <w:rPr/>
            </w:pPr>
            <w:r>
              <w:rPr/>
              <w:t> </w:t>
            </w:r>
          </w:p>
        </w:tc>
        <w:tc>
          <w:tcPr>
            <w:tcW w:w="13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960,211</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w:t>
            </w:r>
          </w:p>
        </w:tc>
        <w:tc>
          <w:tcPr>
            <w:tcW w:w="33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business address of each of the following individuals is c/o Spectral AI, Inc., 2515 McKinney Avenue, Suite 1000, Dallas, Texas 75201.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Excludes shares issuable pursuant to warrants issued in connection with the IPO, as such warrants are not exercisable until 30 days after the Closing.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Shares of Common Stock following the conversion of Class B common stock upon the Closing on a one-for-one basis, subject to adjustment, as described in the section entitled “Description of Securities” in our prospectus filed with the SEC pursuant to Rule 424(b)(4) (File No. 333-252478).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(4)      Rosecliff Acquisition Sponsor I LLC, the Sponsor, is the record holder of 848,333 shares of Common Stock following the conversion of Class B common stock upon the Closing and has a principal place of business in New York. Michael P. Murphy is the managing member of Rosecliff Credit Opportunity Fund I GP, LLC, a Delaware limited liability company, which is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general partner of Rosecliff Credit Opportunity Fund I, L.P., a Delaware limited partnership, which is the managing member of our Sponsor. Each of Rosecliff Credit Opportunity Fund I GP, LLC and Rosecliff Credit Opportunity Fund I, L.P. has a principal place of business in New York. Mr. Murphy is a U.S. person living in New York.</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519,733 shares issuable upon exercise of stock options of the Company which are exercisable within 60 days of the Closing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32,007 shares issuable upon exercise of stock options of the Company which are exercisable within 60 days of the Closing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32,007 shares issuable upon exercise of stock options of the Company which are exercisable within 60 days of the Closing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810,135 shares issuable upon exercise of stock options of the Company which are exercisable within 60 days of the Closing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Includes 22,405 shares issuable upon exercise of stock options of the Company which are exercisable within 60 days of the Closing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Includes 1,416,287 shares issuable upon exercise of stock options of the Company which are exercisable within 60 days of the Closing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Includes 577,574 shares held by Erich Spangenberg and 4,158,557 owned by ELS 1960 Family, L.P. The business address of ELS 1960 Family, L.P. is 241 Navajo Street, Miami, Florida 33166. ELS 1960 Family, L.P. is a limited partnership that was established in 2017 for the benefit of Mr. Erich Spangenberg and his heirs. Mr. Spangenberg is currently the majority limited partner of ELS 1960 Family, L.P. and the co-managing partner of ELS 1960 Family GP, LLC which also holds an interest in ELS 1960 Family, L.P.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The business address for Mr. Dimaio is 4708 Alliance Blvd., Pavilion I, Suite 540, Plano, Texas 75093.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The business address for Board of Regents of the University of Texas System for the Benefit of the University of Texas Southwestern Medical Center is UT Southwestern Medical Center, 5323 Harry Hines Blvd., Dallas, Texas 75390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The business address for Octopus Investments plc is PO Box 10847, Chelmsford CM99 2BU. Octopus Investments is a United Kingdom based financial services company managing more than £12.9 billion on behalf of over 63,000 investors while employing over 750 employees. It is the United Kingdom’s largest provider of venture capital trust (VCT), Enterprise Investment Scheme (EIS) and Business Property Relief (BPR)-qualified investments. VCT, EIS and BPR programs are large UK government-sponsored programs to provide tax and other incentives for institutional and individual investments in areas such as venture capital and commercial real estate transactions.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5"/>
      <w:bookmarkEnd w:id="21"/>
      <w:r>
        <w:rPr>
          <w:rFonts w:ascii="Times New Roman PS Std;serif" w:hAnsi="Times New Roman PS Std;serif"/>
          <w:b/>
          <w:i w:val="false"/>
          <w:caps w:val="false"/>
          <w:smallCaps w:val="false"/>
          <w:sz w:val="20"/>
        </w:rPr>
        <w:t>SELLING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offer and sale by B. Riley Principal Capital II, or the Selling Stockholder, of up to 4,249,360 shares of our Common Stock that have been and may be issued by us to the Selling Stockholder under the Purchase Agreement. For additional information regarding the shares of our Common Stock included in this prospectus, see the section titled “Committed Equity Facility” above. We are registering the shares of our Common Stock included in this prospectus pursuant to the provisions of the Registration Rights Agreement we entered into with B. Riley Principal Capital II on December 26, 2023 in order to permit the Selling Stockholder to offer the shares included in this prospectus for resale from time to time. Except for the transactions contemplated by the Purchase Agreement and the Registration Rights Agreement and as set forth in the section titled “Plan of Distribution (Conflict of Interest)” in this prospectus, B. Riley Principal Capital II has not had any material relationship with us within the past three years. As used in this prospectus, the term “Selling Stockholder” means B. Riley Principal Capital II, LLC.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information regarding the Selling Stockholder and the shares of our Common Stock that may be resold by the Selling Stockholder from time to time under this prospectus. This table is prepared based on information supplied to us by the Selling Stockholder, and reflects holdings as of January 2, 2024. The number of shares in the column “Maximum Number of Shares of Common Stock to be Offered Pursuant to this Prospectus” represents all of the shares of our Common Stock being offered for resale by the Selling Stockholder under this prospectus. The Selling Stockholder may sell some, all or none of the shares being offered for resale in this offering. We do not know how long the Selling Stockholder will hold the shares before selling them and, except as set forth in the section titled “Plan of Distribution (Conflict of Interest)” in this prospectus, we are not aware of any existing arrangements between the Selling Stockholder and any other stockholder, broker, dealer, underwriter or agent relating to the sale or distribution of the shares of our Common Stock being offered for resale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Rule 13d-3(d) promulgated by the SEC under the Exchange Act, and includes shares of our Common Stock with respect to which the Selling Stockholder has sole or shared voting and investment power. The percentage of shares of our Common Stock beneficially owned by the Selling Stockholder prior to the offering shown in the table below is based on an aggregate of 16,294,935 shares of our Common Stock outstanding on January 2, 2024. Because the purchase price to be paid by the Selling Stockholder for shares of our Common Stock, if any, that we may elect to sell to the Selling Stockholder in one or more Market Open Purchases and one or more Intraday Purchases from time to time under the Purchase Agreement will be determined on the applicable Purchase Dates therefor, the actual number of shares of our Common Stock that we may sell to the Selling Stockholder under the Purchase Agreement may be fewer than the number of shares being offered for resale under this prospectus. The fourth column assumes the resale by the Selling Stockholder of all of the shares of our Common Stock being offered for resale pursuant to this prospectus.</w:t>
      </w:r>
    </w:p>
    <w:tbl>
      <w:tblPr>
        <w:tblW w:w="10205" w:type="dxa"/>
        <w:jc w:val="left"/>
        <w:tblInd w:w="0" w:type="dxa"/>
        <w:tblLayout w:type="fixed"/>
        <w:tblCellMar>
          <w:top w:w="0" w:type="dxa"/>
          <w:left w:w="0" w:type="dxa"/>
          <w:bottom w:w="0" w:type="dxa"/>
          <w:right w:w="0" w:type="dxa"/>
        </w:tblCellMar>
      </w:tblPr>
      <w:tblGrid>
        <w:gridCol w:w="2836"/>
        <w:gridCol w:w="146"/>
        <w:gridCol w:w="1143"/>
        <w:gridCol w:w="146"/>
        <w:gridCol w:w="1113"/>
        <w:gridCol w:w="146"/>
        <w:gridCol w:w="2303"/>
        <w:gridCol w:w="146"/>
        <w:gridCol w:w="1023"/>
        <w:gridCol w:w="160"/>
        <w:gridCol w:w="1043"/>
      </w:tblGrid>
      <w:tr>
        <w:trPr/>
        <w:tc>
          <w:tcPr>
            <w:tcW w:w="283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Selling Stockholder</w:t>
            </w:r>
          </w:p>
        </w:tc>
        <w:tc>
          <w:tcPr>
            <w:tcW w:w="146" w:type="dxa"/>
            <w:vMerge w:val="restart"/>
            <w:tcBorders/>
            <w:vAlign w:val="bottom"/>
          </w:tcPr>
          <w:p>
            <w:pPr>
              <w:pStyle w:val="TableContents"/>
              <w:bidi w:val="0"/>
              <w:spacing w:before="0" w:after="283"/>
              <w:jc w:val="left"/>
              <w:rPr/>
            </w:pPr>
            <w:r>
              <w:rPr/>
              <w:t> </w:t>
            </w:r>
          </w:p>
        </w:tc>
        <w:tc>
          <w:tcPr>
            <w:tcW w:w="2402"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Shares of </w:t>
              <w:br/>
              <w:t xml:space="preserve">Common Stock </w:t>
              <w:br/>
              <w:t xml:space="preserve">Beneficially Owned </w:t>
              <w:br/>
              <w:t>Prior to Offering</w:t>
            </w:r>
          </w:p>
        </w:tc>
        <w:tc>
          <w:tcPr>
            <w:tcW w:w="146" w:type="dxa"/>
            <w:tcBorders/>
            <w:vAlign w:val="bottom"/>
          </w:tcPr>
          <w:p>
            <w:pPr>
              <w:pStyle w:val="TableContents"/>
              <w:bidi w:val="0"/>
              <w:spacing w:before="0" w:after="283"/>
              <w:jc w:val="left"/>
              <w:rPr/>
            </w:pPr>
            <w:r>
              <w:rPr/>
              <w:t> </w:t>
            </w:r>
          </w:p>
        </w:tc>
        <w:tc>
          <w:tcPr>
            <w:tcW w:w="230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Maximum Number of </w:t>
              <w:br/>
              <w:t xml:space="preserve">Shares of Common Stock </w:t>
              <w:br/>
              <w:t xml:space="preserve">to be Offered Pursuant </w:t>
              <w:br/>
              <w:t>to this Prospectus(3)</w:t>
            </w:r>
          </w:p>
        </w:tc>
        <w:tc>
          <w:tcPr>
            <w:tcW w:w="146" w:type="dxa"/>
            <w:tcBorders/>
            <w:vAlign w:val="bottom"/>
          </w:tcPr>
          <w:p>
            <w:pPr>
              <w:pStyle w:val="TableContents"/>
              <w:bidi w:val="0"/>
              <w:spacing w:before="0" w:after="283"/>
              <w:jc w:val="left"/>
              <w:rPr/>
            </w:pPr>
            <w:r>
              <w:rPr/>
              <w:t> </w:t>
            </w:r>
          </w:p>
        </w:tc>
        <w:tc>
          <w:tcPr>
            <w:tcW w:w="222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Shares of </w:t>
              <w:br/>
              <w:t xml:space="preserve">Common Stock </w:t>
              <w:br/>
              <w:t xml:space="preserve">Beneficially Owned </w:t>
              <w:br/>
              <w:t>After Offering(4)</w:t>
            </w:r>
          </w:p>
        </w:tc>
      </w:tr>
      <w:tr>
        <w:trPr/>
        <w:tc>
          <w:tcPr>
            <w:tcW w:w="28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4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Number(1)</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Percent(2)</w:t>
            </w:r>
          </w:p>
        </w:tc>
        <w:tc>
          <w:tcPr>
            <w:tcW w:w="146" w:type="dxa"/>
            <w:tcBorders/>
            <w:vAlign w:val="bottom"/>
          </w:tcPr>
          <w:p>
            <w:pPr>
              <w:pStyle w:val="TableContents"/>
              <w:bidi w:val="0"/>
              <w:spacing w:before="0" w:after="283"/>
              <w:jc w:val="left"/>
              <w:rPr/>
            </w:pPr>
            <w:r>
              <w:rPr/>
              <w:t> </w:t>
            </w:r>
          </w:p>
        </w:tc>
        <w:tc>
          <w:tcPr>
            <w:tcW w:w="2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60" w:type="dxa"/>
            <w:tcBorders/>
            <w:vAlign w:val="bottom"/>
          </w:tcPr>
          <w:p>
            <w:pPr>
              <w:pStyle w:val="TableContents"/>
              <w:bidi w:val="0"/>
              <w:spacing w:before="0" w:after="283"/>
              <w:jc w:val="left"/>
              <w:rPr/>
            </w:pPr>
            <w:r>
              <w:rPr/>
              <w:t> </w:t>
            </w:r>
          </w:p>
        </w:tc>
        <w:tc>
          <w:tcPr>
            <w:tcW w:w="104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Riley Principal Capital II, LLC(5)</w:t>
            </w:r>
          </w:p>
        </w:tc>
        <w:tc>
          <w:tcPr>
            <w:tcW w:w="146"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30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3,249,360</w:t>
            </w:r>
          </w:p>
        </w:tc>
        <w:tc>
          <w:tcPr>
            <w:tcW w:w="146"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Represents beneficial ownership of less than 1.0% of the outstanding shares of our Common Stock.</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Represents the 40,000 shares of our Common Stock we issued to B. Riley Principal Capital II on December 26, 2023 as Commitment Shares in partial consideration for entering into the Purchase Agreement with us. In accordance with Rule 13d-3(d) under the Exchange Act, we have excluded from the number of shares beneficially owned prior to the offering all of the shares that B. Riley Principal Capital II may be required to purchase under the Purchase Agreement, because the issuance of such shares is solely at our discretion and is subject to conditions contained in the Purchase Agreement, the satisfaction of which are entirely outside of B. Riley Principal Capital II’s control, including the registration statement that includes this prospectus becoming and remaining effective. Furthermore, the Market Open Purchases and the Intraday Purchases of our Common Stock under the Purchase Agreement are subject to certain agreed upon maximum amount limitations set forth in the Purchase Agreement. Also, the Purchase Agreement prohibits us from issuing and selling any shares of our Common Stock to B. Riley Principal Capital II to the extent such shares, when aggregated with all other shares of our Common Stock then beneficially owned by B. Riley Principal Capital II, would cause B. Riley Principal Capital II’s beneficial ownership of our Common Stock to exceed the 4.99% Beneficial Ownership Limitation. The Purchase Agreement also prohibits us from issuing or selling shares of our Common Stock under the Purchase Agreement in excess of the 19.99% Exchange Cap, unless we obtain stockholder approval to do so, or unless the average price for all shares of our Common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Stock purchased by B. Riley Principal Capital II under the Purchase Agreement equals or exceeds $2.55 per share, such that the Exchange Cap limitation would not apply under applicable Nasdaq rules. Neither the Beneficial Ownership Limitation nor the Exchange Cap (to the extent applicable under Nasdaq) may be amended or waived under the Purchase Agreement.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Applicable percentage ownership is based on 16,294,935 shares of our Common Stock outstanding as of January 2,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Under the terms of the Purchase Agreement, in certain circumstances set forth in the Purchase Agreement, we may be required to pay B. Riley Principal Capital II up to $100,000, in cash, as a “make-whole” payment to the extent the aggregate amount of cash proceeds, if any, received by B. Riley Principal Capital II from the resale of the Commitment Shares offered for resale by this prospectus, prior to certain times set forth in the Purchase Agreement, is less than $100,000, in exchange for B. Riley Principal Capital II returning to us for cancelation all or a portion of the Commitment Shares we originally issued to B. Riley Principal Capital II upon execution of the Purchase Agreement that were not previously resold by B. Riley Principal Capital II prior to the times specified in the Purchase Agreement, in which case the total number of shares of our Common Stock being offered for resale pursuant to this prospectus would be less than the maximum number of shares of Common Stock to be offered for resale pursuant to this prospectus set forth in this column by the number of Commitment Shares that B. Riley Principal Capital II may be required to return to us for cancelation in exchange for such cash “make-whole” payment. See “Plan of Distribution (Conflict of Interest)” for more information about the terms of the commitment fee to be received by B. Riley Principal Capital II under the Purchase Agreement.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Assumes the sale of all shares of our Common Stock being offered for resale pursuant to this prospectus.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business address of B. Riley Principal Capital II, LLC (“BRPC II”) is 11100 Santa Monica Blvd., Suite 800, Los Angeles, California 90025. BRPC II’s principal business is that of a private investor. BRPC II is a wholly-owned subsidiary of B. Riley Principal Investments, LLC (“BRPI”). As a result, BRPI may be deemed to indirectly beneficially own the securities of the company held of record by BRPC II. B. Riley Financial, Inc. (“BRF”) is the parent company of BRPC II and BRPI. As a result, BRF may be deemed to indirectly beneficially own the securities of the company held of record by BRPC II and indirectly beneficially owned by BRPI. Bryant R. Riley is the Co-Chief Executive Officer and Chairman of the Board of Directors of BRF. As a result, Bryant R. Riley may be deemed to indirectly beneficially own the securities of the company held of record by BRPC II and indirectly beneficially owned by BRPI. Each of BRF, BRPI and Bryant R. Riley expressly disclaims beneficial ownership of the securities of the company held of record by BRPC II, except to the extent of its/his pecuniary interest therein. We have been advised that none of BRF, BRPI or BRPC II is a member of the Financial Industry Regulatory Authority, Inc. (“FINRA”) or an independent broker-dealer; however, each of BRF, BRPI, BRPC II and Bryant R. Riley is an affiliate of B. Riley Securities, Inc. (“BRS”), a registered broker-dealer and FINRA member, and Bryant R. Riley is an associated person of BRS. BRS will act as an executing broker that will effectuate resales of our Common Stock that have been and may be acquired by BRPC II from us pursuant to the Purchase Agreement to the public in this offering. See “Plan of Distribution (Conflict of Interest)” for more information about the relationship between BRPC II and BRS.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4"/>
      <w:bookmarkEnd w:id="22"/>
      <w:r>
        <w:rPr>
          <w:rFonts w:ascii="Times New Roman PS Std;serif" w:hAnsi="Times New Roman PS Std;serif"/>
          <w:b/>
          <w:i w:val="false"/>
          <w:caps w:val="false"/>
          <w:smallCaps w:val="false"/>
          <w:sz w:val="20"/>
        </w:rPr>
        <w:t>DESCRIPTION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description summarizes certain important terms of our capital stock, including the provisions included in our Charter, Bylaws and the Warrant Agreement. This description is not complete and is qualified by reference to the full text of our Charter, Bylaws and the Warrant Agreement, which are included as exhibits to the registration statement of which this prospectus is a part, as well as the applicable provisions of the DGCL.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and Outstanding Capital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authorizes the issuance of 81,000,000 shares of capital stock of the Company, consisting of (i) 80,000,000 shares of common stock, par value $0.0001 per share (the “Common Stock”), and (ii) 1,000,000 shares of preferred stock, par value $0.0001 per share (the “Preferred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Common Stock are entitled to cast one vote per share of Common Stock on all matters to be voted on by stockholders. Holders of Common Stock will vote together as a single class, and an action will be approved by stockholders if the number of votes cast in favor of the action exceeds the number of votes cast in opposition to the action, while directors will be elected by a plurality of the votes cast. Holders of Common Stock are not entitled to cumulate their votes in the 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quorum is present at any meeting, any matter other than the election of directors to be voted upon by the stockholders at such meeting will be decided by a majority vote of the holders of shares of capital stock present or represented at the meeting and voting affirmatively or negatively on such matter. At all meetings of stockholders for the election of directors at which a quorum is present, a plurality of the votes cast will be sufficient to elect such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preferences that may apply to any Preferred Stock, holders of Common Stock will be entitled to the payment of dividends at the times and in the amounts as the Board in its discretion may determine.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Liquidation, Dissolution and Winding 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liquidation, dissolution, distribution of assets or winding up of the Company, each holder of Common Stock will be entitled, pro rata on a per share basis, to all assets of the Company of whatever kind available for distribution to the holders of Common Stock, subject to the designations, preferences, limitations, restrictions and relative rights of any Preferred Stock then outstanding.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Common Stock will not have redemption, conversion, preemptive or other subscription rights and there will be no sinking fund provisions applicable to Common Stock. All of the outstanding shares of Common Stock are validly issued, fully paid and non-assessable.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provides that the Board has the authority, without action by the stockholders, to designate and issue shares of Preferred Stock in one or more series, and the number of shares constituting any such series, and to fix the voting powers, designations, preferences, limitations, restrictions and relative rights of each series of Preferred Stock, including, without limitation, dividend rights, conversion rights, rights and terms of redemption, and liquidation preferences, which rights may be greater than the rights of the holders of Common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authorizing the Board to issue Preferred Stock and determine the rights and preferences of any series of Preferred Stock is to eliminate delays associated with a stockholder vote on specific issuances. The simplified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Common Stock by restricting dividends on Common Stock, diluting the voting power of Common Stock or subordinating the dividend or liquidation rights of Common Stock. As a result of these or other factors, the issuance of preferred stock could have an adverse impact on the market price of 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whole Warrant entitles the registered holder to purchase one share of our Common Stock at a price of $11.50 per share, subject to adjustment as discussed below, at any time commencing 30 days after the completion of the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on Nasdaq.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Warrant will be exercisable for cash unless we have an effective and current registration statement covering the shares of Common Stock issuable upon exercise of the Warrants and a current prospectus relating to such shares of Common Stock. Notwithstanding the foregoing, if the registration statement covering the shares of Common Stock issuable upon exercise of the Warrants is not effective within 60 days from the Closing,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In such event, each holder would pay the exercise price by surrendering the whole Warrant for that number of shares of Common Stock equal to the quotient obtained by dividing (x) the product of the number of shares of Common Stock underlying the Warrants, </w:t>
      </w:r>
      <w:r>
        <w:rPr>
          <w:rFonts w:ascii="Times New Roman PS Std;serif" w:hAnsi="Times New Roman PS Std;serif"/>
          <w:b w:val="false"/>
          <w:i/>
          <w:caps w:val="false"/>
          <w:smallCaps w:val="false"/>
          <w:sz w:val="20"/>
        </w:rPr>
        <w:t>multiplied by</w:t>
      </w:r>
      <w:r>
        <w:rPr>
          <w:rFonts w:ascii="Times New Roman PS Std;serif" w:hAnsi="Times New Roman PS Std;serif"/>
          <w:b w:val="false"/>
          <w:i w:val="false"/>
          <w:caps w:val="false"/>
          <w:smallCaps w:val="false"/>
          <w:sz w:val="20"/>
        </w:rPr>
        <w:t xml:space="preserve"> the difference between the exercise price of the Warrant and the “fair market value” by (y) the fair market value. The “fair market value” shall mean the average reported trading price of the shares of Common Stock for the ten (10) trading days ending on the trading day prior to the date of exercise. The Warrants will expire five years from the Closing at 5:00 p.m., New York City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outstanding Warrants (excluding the Warrants issued in the private placements contemporaneously with the IPO) may be called for redemption, in whole and not in part, at a price of $0.01 per warrant: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any time after the Warrants become exercisable;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not less than 30 days’ prior written notice of redemption to each warrant holder;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reported last sale price of the shares of Common Stock equals or exceeds $18.00 per share, for any 20 trading days within a 30-day trading period commencing after the Warrants become exercisable and ending on the third business day prior to the notice of redemption to Warrant holders;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Warrants upon surrender of such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redemption criteria for the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a redemption call, the redemption will not cause the share price to drop below the exercise price of the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Warrants are called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by dividing (x) the product of the number of shares of Common Stock underlying the Warrants, </w:t>
      </w:r>
      <w:r>
        <w:rPr>
          <w:rFonts w:ascii="Times New Roman PS Std;serif" w:hAnsi="Times New Roman PS Std;serif"/>
          <w:b w:val="false"/>
          <w:i/>
          <w:caps w:val="false"/>
          <w:smallCaps w:val="false"/>
          <w:sz w:val="20"/>
        </w:rPr>
        <w:t>multiplied by</w:t>
      </w:r>
      <w:r>
        <w:rPr>
          <w:rFonts w:ascii="Times New Roman PS Std;serif" w:hAnsi="Times New Roman PS Std;serif"/>
          <w:b w:val="false"/>
          <w:i w:val="false"/>
          <w:caps w:val="false"/>
          <w:smallCaps w:val="false"/>
          <w:sz w:val="20"/>
        </w:rPr>
        <w:t xml:space="preserve"> the difference between the exercise price of the Warrant and the “fair market value” by (y) the fair market value. The “fair market value” for this purpose shall mean the average reported closing price of the shares of Common Stock for the ten (10) trading days ending on the third trading day prior to the date on which the notice of redemption is sent to holders of the Warrants. Whether we will exercise our option to require all holders to exercise their Warrants on a “cashless basis” will depend on a variety of factors including the price of the Common Stock at the time the Warrants are called for redemption, our cash needs at such time and concerns regarding dilutive share issuances.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have been issued in registered form under a Warrant Agreement between Continental Stock Transfer &amp; Trust Company, as warrant agent, and RCLF. The Warrant Agreement provides that the terms of the Warrants may be amended without the consent of any holder to cure any ambiguity or correct any defective provision, but requires the approval, by written consent or vote, of the holders of 65% of the then outstanding Warrants in order to make any change that adversely affects the interests of the registered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and number of shares of Common Stock issuable on exercise of the Warrants may be adjusted in certain circumstances including in the event of a share dividend, extraordinary dividend or our recapitalization, reorganization, merger or consolidation. However, the Warrants will not be adjusted for issuances of shares of Common Stock at a price below their respective exercise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above, no Warrants will be exercisable for cash and we will not be obligated to issue shares of Common Stock unless at the time a holder seeks to exercise such warrants,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commercially reasonable efforts to meet these conditions and to maintain a current prospectus relating to the shares of Common Stock issuable upon exercise of the Warrants until the expiration of the Warrants. However, we cannot assure you that we will be able to do so and, if we do not maintain a current prospectus relating to the shares of Common Stock issuable upon exercise of the Warrants, holders will be unable to exercise their Warrants, and we will not be required to settle any such warrant exercise. If the prospectus relating to the shares of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will be issued upon exercise of the Warrants. If, upon exercise of the Warrants, a holder would be entitled to receive a fractional interest in a share, we will, upon exercise, round down to the nearest whole number the number of shares of Common Stock to be issued to the Warrant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 Agreement provides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Notwithstanding the foregoing, these provisions of the Warrant Agreement will not apply to suits brought to enforce any liability or duty created by the Securities Act or the Exchange Act (or the rules and regulations thereunder) or any other claim for which the federal district courts of the United States of America are the sole and exclusive forum.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Original Registration Rights and Lock-up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the Company, the Sponsor and certain stockholders of Legacy Spectral and RCLF entered into the Original Registration Rights/Lock-Up Agreement, pursuant to which, among other things, the Company agreed to register for resale, pursuant to Rule 415 under the Securities Act, shares of Common Stock that are held by the parties thereto from time to time. Pursuant to the Original Registration Rights/Lock-Up Agreement, the Company will agree to file a shelf registration statement registering the resale of the Common Stock within 45 days of the Closing. Up to twice in any 12-month period, certain Legacy Spectral stockholders and the Sponsor may request to sell all or any portion of their Registrable Securities (as defined in the Original Registration Rights/Lock-Up Agreement) in an underwritten offering so long as the total offering price is reasonably expected to exceed $10 million. The Company also agreed to provide customary “piggyback” registration rights, subject to certain requirements and customary conditions. The Original Registration Rights/Lock-Up Agreement will provides that the Company will pay certain expenses relating to such registrations and indemnify the stockholders against certain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pursuant to the Original Registration Rights/Lock-up Agreements, Legacy Spectral stockholders party to the agreement agreed, among other things and subject to limited exceptions, that their shares received as consideration in the First Merger (including New Awards and shares issuable upon exercise or conversion of New Awards) may not be transferred until the date that is six months following Closing, and the Sponsor and other holders of Founder Shares agreed, among other things, that the shares of Common Stock held by the Sponsor (other than shares acquired in any potential Private Placement or shares acquired in the public market) may not be transferred until the date that is six months following the Closing.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Exclusive Forum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provides that, unless the Company consents in writing to the selection of an alternative forum, the Court of Chancery of the State of Delaware (the “Chancery Court”) shall be the sole and exclusive forum for any stockholder (including a beneficial owner) to bring: (i) any derivative action or proceeding brought on the Company’s behalf; (ii) any action, suit or proceeding asserting a claim of breach of fiduciary duty owed by any current or former director, officer or other employee, agent or stockholder of the Company to the Company or its stockholders; (iii) any action, suit or proceeding asserting a claim against the Company, its current or former directors, officers, or employees, agents or stockholders arising pursuant to any provision of the DGCL, the Charter or the Bylaws or (iv) any action, suit or proceeding asserting a claim against the Company, its current or former directors, officers, or employees, agents or stockholders governed by the internal affairs doctrine, and, if such action is filed in a court other than the Chancery Court (a “Foreign Action”) by any stockholder (including any beneficial owner), to the fullest extent permitted by law, such stockholder shall be deemed to have consented to (a) the personal jurisdiction of the Chancery Court in connection with any action brought in any such court; and (b) having service of process made upon such stockholder in any such action by service upon such stockholder’s counsel in the Foreign Action as agent for such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exclusive forum provision set forth above does not apply to, and does not preclude or contract the scope of, either (i) exclusive federal jurisdiction pursuant to Section 27 of the Exchange Act for claims seeking to enforce any liability or duty created by the Exchange Act or the rules and regulations thereunder, or any other claim for which the U.S. federal courts have exclusive jurisdiction, or (ii) concurrent jurisdiction under Section 22 of the Securities Act for federal and state courts over all claims seeking to enforce any liability or duty created by the Securities Act or the rules and regulations thereunder.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Anti-Takeover Effects of Provisions of the Proposed Charter, Proposed Bylaws and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 of the DGCL affords us certain protections, such as prohibiting us from engaging in any business combination with any stockholder for a period of three years following the time that such stockholder (the “interested stockholder”) came to own at least 15% of our outstanding voting stock (the “acquisition”), except if: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board of directors approved the acquisition prior to its consummation;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interested stockholder owned at least 85% of the outstanding voting stock upon consummation of the acquisition;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business combination is approved by our board of directors, and by a two-thirds vote of the other stockholders in a meeting.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a “business combination” includes any merger, consolidation,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15% or more of our voting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certain circumstances, these anti-takeover provisions will make it more difficult for a person who would be an “interested stockholder” to effect various business combinations with us for a three-year period. This may encourage companies interested in acquiring us to negotiate in advance with our board of directors because the stockholder approval requirement would be avoided if our board of directors approves the acquisition that results in the stockholder becoming an interested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may also have the effect of preventing changes in our board of directors and may make it more difficult to accomplish transactions that stockholders may otherwise deem to be in their best interests.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but Unissued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provides that certain shares of authorized but unissued Common Stock and Preferred Stock will be available for future issuances without stockholder approval and could be utilized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the Company by means of a proxy contest, tender offer, merger, or otherwise.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Special Meetings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provides that special meetings of the stockholders of the Company may be called, for any purpose or purposes, at any time by the chairperson of the Board or a resolution adopted by the affirmative vote of the majority of the then-serving members of the Board, in accordance with the Bylaws, and shall not be called by stockholders or any other Person or Persons.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Advance Notice Requirements for Stockholder Proposals and Director Nominations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Bylaws establish advance notice procedures with respect to stockholder proposals and nomination of candidates for election as directors, other than nominations made by or at the direction of the Board or a committee of the Board. In order to be “properly brought” before a meeting, a stockholder will have to comply with advance notice requirements and provide the Company with certain information. Generally, to be timely, a stockholder’s notice must be received at the Company’s principal executive offices not less than 90 days nor more than 120 days prior to the anniversary of the immediately preceding annual meeting of stockholders. The Bylaws also specify requirements as to the form and content of a stockholder’s notice. The Bylaws allow the Board and/or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Limitation on Stockholder Action by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provides that any action required or permitted to be taken by the stockholders of the Company must be effected at an annual or special meeting of the stockholders and may not be taken by written consent of the stockholders in lieu of a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Dissenter’s Rights of Appraisal and Payment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Court.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Derivative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DGCL, any of the Company’s stockholders may bring an action in the Company’s name to procure a judgment in the Company’s favor, also known as a derivative action;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stockholder bringing the action is a holder of the Company’s shares at the time of the transaction to which the action relates or such stockholder’s shares thereafter devolved by operation of law.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Liability and Indemnification of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DGCL authorizes corporations to limit or eliminate the personal liability of directors or officers of corporations and their stockholders for monetary damages for breaches of directors’ or officers’ fiduciary duties, subject to certain exceptions. The Charter includes a provision that eliminates the personal liability of directors or officers for monetary damages for any breach of fiduciary duty as a director or officer except to the extent such exemption from liability or limitation thereof is not permitted under the DGCL as the same exists or may hereafter be amended.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Bylaws provide that the Company must indemnify and hold harmless the directors and officers of the Company to the fullest extent authorized by the DGCL.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Company would have the power to indemnify him or her against such liability under the provisions of the DGCL.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limitation of liability, advancement and indemnification provisions in the Charter and Bylaws may discourage stockholders from bringing lawsuits against directors or officers for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 pursuant to these indemnification provisions.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Warrant Agent and Registrar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for Common Stock is Continental Stock Transfer &amp; Trust Company. The Company will agree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and Warrants are listed on Nasdaq under the symbols “MDAI” and “MDAIW,”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3"/>
      <w:bookmarkEnd w:id="23"/>
      <w:r>
        <w:rPr>
          <w:rFonts w:ascii="Times New Roman PS Std;serif" w:hAnsi="Times New Roman PS Std;serif"/>
          <w:b/>
          <w:i w:val="false"/>
          <w:caps w:val="false"/>
          <w:smallCaps w:val="false"/>
          <w:sz w:val="20"/>
        </w:rPr>
        <w:t>RESTRICTIONS ON RESALE OF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Rule 144 under the Securities Act (“Rule 144”), a person who has beneficially owned restricted shares of our Common Stock or Warrants for at least six months would be entitled to sell their securities;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that (i) such person is not deemed to have been an affiliate of the Company at the time of, or at any time during the three months preceding, a sale and (ii) the Company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who have beneficially owned restricted shares of Common Stock or Warrants for at least six months but who are affiliates of the Company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total number of shares of Common Stock then outstanding;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reported trading volume our Common Stock during the four calendar weeks preceding the filing of a notice on Form 144 with respect to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by affiliates of the Company under Rule 144 are also limited by manner of sale provisions and notice requirements and by the availability of current public information about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Restrictions on the Use of Rule 144 by Shell Companies or Former Shell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 is not available for the resale of securities initially issued by shell companies (other than business-combination related shell companies) or issuers that have been at any time previously a shell company. However, Rule 144 also includes an important exception to this prohibition if the following conditions are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that was formerly a shell company has ceased to be a shell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is subject to the reporting requirements of Section 13 or 15(d) of the Exchange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one year has elapsed from the time that the issuer filed current Form 10-type information with the SEC reflecting its status as an entity that is not a shell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consummation of the Business Combination, we are no longer a shell company, and so, once the conditions listed above are satisfied, Rule 144 will become available for the resale of the above-noted restricted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11, 2023, in connection with the consummation of the Business Combination and as contemplated by the Business Combination Agreement, the Company entered into the Original Registration Rights/Lock-Up Agreement with the Holders. The Original Registration Rights/Lock-Up Agreement contained lock-up provisions, pursuant to which the Holders agreed, among other things, that their shares received as merger consideration may not be transferred until the date on which the last reported sale price of the Common Stock equals or exceeds $12.50 per share for any ten (10) trading days within any thirty (30)-trading day period commencing after the Closing Date or, if earlier, the date that is 180 days after the Closing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992003"/>
      <w:bookmarkEnd w:id="24"/>
      <w:r>
        <w:rPr>
          <w:rFonts w:ascii="Times New Roman PS Std;serif" w:hAnsi="Times New Roman PS Std;serif"/>
          <w:b/>
          <w:i w:val="false"/>
          <w:caps w:val="false"/>
          <w:smallCaps w:val="false"/>
          <w:sz w:val="20"/>
        </w:rPr>
        <w:t>PLAN OF DISTRIBUTION (CONFLICT OF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our Common Stock offered by this prospectus are being offered by the Selling Stockholder, B. Riley Principal Capital II, LLC (“B. Riley Principal Capital II”). The shares may be sold or distributed from time to time by B. Riley Principal Capital II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Common Stock offered by this prospectus could be effected in one or more of the following methods: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brokers’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transactions involving cross or block trades;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brokers, dealers, or underwriters who may act solely as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market” into an existing market for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other ways not involving market makers or established business markets, including direct sales to purchasers or sales effected through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privately negotiated transactions;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combination of the foregoing.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Riley Principal Capital II is an “underwriter” within the meaning of Section 2(a)(11) of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Riley Principal Capital II has informed us that it presently anticipates using, but is not required to use, B. Riley Securities, Inc. (“BRS”), a registered broker-dealer and FINRA member and an affiliate of B. Riley Principal Capital II, as a broker to effectuate resales, if any, of our Common Stock that it may acquire from us pursuant to the Purchase Agreement, and that it may also engage one or more other registered broker-dealers to effectuate resales, if any, of such Common Stock that it may acquire from us. Such resales will be made at prices and at terms then prevailing or at prices related to the then current market price. Each such registered broker-dealer will be an underwriter within the meaning of Section 2(a)(11) of the Securities Act. B. Riley Principal Capital II has informed us that each such broker-dealer it engages to effectuate resales of our Common Stock on its behalf, excluding BRS, may receive commissions from B. Riley Principal Capital II for executing such resales for B. Riley Principal Capital II and, if so, such commissions will not exceed customary brokerage commissions.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Riley Principal Capital II is an affiliate of BRS, a registered broker-dealer and FINRA member, which will act as an executing broker that will effectuate resales of our Common Stock that may be acquired by B. Riley Principal Capital II from us pursuant to the Purchase Agreement to the public in this offering. Because B. Riley Principal Capital II will receive all the net proceeds from such resales of our Common Stock made to the public through BRS, BRS is deemed to have a “conflict of interest” within the meaning of FINRA Rule 5121. Consequently, this offering will be conducted in compliance with the provisions of FINRA Rule 5121, which requires that a “qualified independent underwriter,” as defined in FINRA Rule 5121, participate in the preparation of the registration statement that includes this prospectus and exercise the usual standards of “due diligence” with respect thereto. Accordingly, we have engaged Seaport Global Securities LLC, a registered broker-dealer and FINRA member (“Seaport”), to be the qualified independent underwriter in this offering and, in such capacity, participate in the preparation of the registration statement that includes this prospectus and exercise the usual standards of “due diligence” with respect thereto. Upon the initial filing with the SEC of the registration statement that includes this prospectus, we paid Seaport (i) a cash fee of $50,000 as consideration for its services in connection with acting as the qualified independent underwriter in this offering and (ii) $5,000 as reimbursement for its expenses incurred in providing such services. Seaport will receive no other compensation for acting as the qualified independent underwriter in this offering. B. Riley Principal Capital II has agreed to reimburse us (or cause one of its affiliates to reimburse us) on the Commencement Date for the full amount of the cash fee and expense reimbursement we paid to Seaport in connection with acting as the qualified independent underwriter in this offering. In accordance with FINRA Rule 5110, such cash fee and expense reimbursement to be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 to Seaport for acting as the qualified independent underwriter in this offering are deemed to be underwriting compensation in connection with sales of our Common Stock by B. Riley Principal Capital II to the public. Seaport will receive no other compensation for acting as the qualified independent underwriter in this offering. In accordance with FINRA Rule 5121, BRS is not permitted to sell shares of our Common Stock in this offering to an account over which it exercises discretionary authority without the prior specific written approval of the account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above, we know of no existing arrangements between B. Riley Principal Capital II and any other stockholder, broker, dealer, underwriter or agent relating to the sale or distribution of the shares of our Common Stock offered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B. Riley Principal Capital II through this prospectus. The compensation paid to any such particular broker-dealer by any such purchasers of shares of our Common Stock sold by B. Riley Principal Capital II may be less than or in excess of customary commissions. Neither we nor B. Riley Principal Capital II can presently estimate the amount of compensation that any agent will receive from any purchasers of shares of our Common Stock sold by B. Riley Principal Capital 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B. Riley Principal Capital II, including with respect to any compensation paid or payable by B. Riley Principal Capital II to any brokers, dealers, underwriters or agents that participate in the distribution of such shares by B. Riley Principal Capital II, and any other related information required to be disclosed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the expenses incident to the registration under the Securities Act of the offer and sale of the shares of our Common Stock covered by this prospectus by B. Riley Principal Capital 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consideration for its irrevocable commitment to purchase our Common Stock at our direction under the Purchase Agreement, we have agreed to (i) issue to B. Riley Principal Capital II 40,000 shares of our Common Stock as Commitment Shares, which Commitment Shares have a total aggregate value equal to 1.0% of B. Riley Principal Capital II’s $10,000,000 total dollar amount purchase commitment under the Purchase Agreement (assuming a value of $2.50 per Commitment Share, representing the official closing price of the Common Stock on Nasdaq immediately preceding the execution of the Purchase Agreement), upon execution of the Purchase Agreement and the Registration Rights Agreement and (ii) pay B. Riley Principal Capital II the Cash Commitment Fee in the amount of $75,000, which is equal to 0.75% of B. Riley Principal Capital II’s $10,000,000 total dollar amount purchase commitment under the Purchase Agreement, upon the settlement of the first purchase (whether such first purchase is a Market Open Purchase or Intraday Purchase), if any, that we direct B. Riley Principal Capital II to make under the Purchase Agreement. If we do not direct B. Riley Principal Capital II to make any Market Open Purchase or Intraday Purchase under the Purchase Agreement, or if the Commencement does not occur, then we have agreed to pay the $75,000 Cash Commitment Fee to B. Riley Principal Capital II within three trading days following the termination of the Purchase Agreement in accordance with its terms. In accordance with FINRA Rule 5110, the 40,000 Commitment Shares and the $75,000 Cash Commitment Fee are deemed to be underwriting compensation in connection with sales of our shares of Common Stock by B. Riley Principal Capital II to the public.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further agreed that if, after the Commencement Date, the aggregate amount of cash proceeds received by B. Riley Principal Capital II from their resale of all of the Commitment Shares is less than $100,000, or 1.0% of B. Riley Principal Capital II’s $10,000,000 total dollar amount purchase commitment under the Purchase Agreement, then we will pay B. Riley Principal Capital II, in cash, the amount by which $100,000 exceeds the aggregate net proceeds received by B. Riley Principal Capital II from their resale of all of the Commitment Shares offered through this prospectus. Furthermore, we have agreed that if B. Riley Principal Capital has not resold all of the Commitment Shares that we had issued to them upon execution of the Purchase Agreement, all of which are being offered for resale through this prospectus, prior to the earliest of (i) the effective date of the termination of the Purchase Agreement by us or B. Riley Principal Capital II in accordance with its terms, (ii) the 121st calendar day after the date of this prospectus, (iii) the calendar day on which the effectiveness of the registration statement that includes this prospectus lapses, or this prospectus otherwise becomes unavailable for any reason to B. Riley Principal Capital II for the resale of all of the Commitment Shares being offered hereby, or (iv) the date on which our Common Stock fails to be listed or has ceased to trade on Nasdaq (or another eligible national securities exchange under the Purchase Agreement) for a period of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three trading days, other than due to any material breach by B. Riley Principal Capital II of its obligations under the Purchase Agreement, and if the aggregate amount of cash proceeds received by B. Riley Principal Capital II from their resale of any of the Commitment Shares that B. Riley Principal Capital II was able to resell before such earliest date is less than $100,000, then we will pay B. Riley Principal Capital II, in cash, the amount by which $100,000 exceeds the aggregate net proceeds received by B. Riley Principal Capital II from their resale of the Commitment Shares that B. Riley Principal Capital II was able to resell before such earliest date, in exchange for B. Riley Principal Capital II returning to us for cancelation all of the Commitment Shares we originally issued to them that they were not able to resell before such earliest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Lastly, if, for any reason whatsoever, other than due to any material breach by B. Riley Principal Capital II of its obligations under the Purchase Agreement or the Registration Rights Agreement, either the registration statement that includes this prospectus is not declared effective by the SEC or the Commencement fails to occur under the Purchase Agreement, in either case prior to the 181st calendar day after the date of the Purchase Agreement (or June 24, 2024) and, as a result, B. Riley Principal Capital II was not able to resell any of the Commitment Shares we originally issued to them prior to such 181st calendar day, then we will pay $100,000 in cash to B. Riley Principal Capital II, in exchange for B. Riley Principal Capital II returning to us for cancelation all of the Commitment Shares we originally issued to them pursuant to the Purchase Agreement. In this prospectus, we sometimes refer to this cash “make-whole” payment that we may be required to pay to B. Riley Principal Capital II under the Purchase Agreement under the circumstances described above (as applicable) as the “Cash Make-Whole Payment.” We will not make any Cash Make-Whole Payment to B. Riley Principal Capital II if, after the Commencement under the Purchase Agreement, the aggregate net proceeds received by B. Riley Principal Capital II from their resale of all or any portion of the Commitment Shares being offered by this prospectus equals or exceeds $100,000. In accordance with FINRA Rule 5110, the $100,000 Cash Make-Whole Payment that we may be required to pay to B. Riley Principal Capital II under the Purchase Agreement is deemed to be underwriting compensation in connection with sales of our Common Stock by B. Riley Principal Capital II to the public.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agreed to reimburse B. Riley Principal Capital II for the reasonable legal fees and disbursements of B. Riley Principal Capital II’s legal counsel in an amount not to exceed (i) $75,000 upon our execution of the Purchase Agreement and Registration Rights Agreement and (ii) $5,000 per fiscal quarter, in each case in connection with the transactions contemplated by this Agreement and the Registration Rights Agreement. In accordance with FINRA Rule 5110, these reimbursed fees and expenses are deemed to be underwriting compensation in connection with sales of our Common Stock by B. Riley Principal Capital II to the public. Moreover, in accordance with FINRA Rule 5110, the 3.5% fixed discount to current market prices of our Common Stock reflected in the purchase prices payable by B. Riley Principal Capital II for our Common Stock that we may require it to purchase from us from time to time under the Purchase Agreement is deemed to be underwriting compensation in connection with sales of our Common Stock by B. Riley Principal Capital II to the public.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agreed to indemnify B. Riley Principal Capital II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B. Riley Principal Capital II has agreed to indemnify us against liabilities under the Securities Act that may arise from certain written information furnished to us by B. Riley Principal Capital II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total expenses for the offering will be approximately $318,199.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Riley Principal Capital II has represented to us that at no time prior to the date of the Purchase Agreement has B. Riley Principal Capital II, its sole member, any of their respective officers, or any entity managed or controlled by B. Riley Principal Capital II or its sole member, engaged in or effected, in any manner whatsoever, directly or indirectly, for its own account or for the account of any of its affiliates, any short sale (as such term is defined in Rule 200 of Regulation SHO of the Exchange Act) of our Common Stock or any hedging transaction, which establishes a net short position with respect to our Common Stock. B. Riley Principal Capital II has agreed that during the term of the Purchase Agreement, none of B. Riley Principal Capital II, its sole member, any of their respective officers, or any entity managed or controlled by B. Riley Principal Capital II or its sole member, will enter into or effect, directly or indirectly, any of the foregoing transactions for its own account or for the account of any other such person or entity.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advised B. Riley Principal Capital II that it is required to comply with Regulation M promulgated under the Exchange Act. With certain exceptions, Regulation M precludes B. Riley Principal Capital II,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offering will terminate on the date that all shares of our Common Stock offered by this prospectus have been sold by B. Riley Principal Capital 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currently listed on Nasdaq under the symbol “MDAI”.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Riley Principal Capital II and/or one or more of its affiliates has provided, currently provides and/or from time to time in the future may provide various investment banking and other financial services for us and/or one or more of our affiliates that are unrelated to the transactions contemplated by the Purchase Agreement and the offering of shares for resale by B. Riley Principal Capital II to which this prospectus relates, for which investment banking and other financial services they have received and may continue to receive customary fees, commissions and other compensation from us, aside from any discounts, fees and other compensation that B. Riley Principal Capital II has received and may receive in connection with the transactions contemplated by the Purchase Agreement, including (i) the $75,000 cash commitment fee we have agreed to pay to B. Riley Principal Capital II and the 40,000 Commitment Shares we have issued to B. Riley Principal Capital II as consideration for its irrevocable commitment to purchase shares of our Common Stock from us at our direction under the Purchase Agreement, as well as the up to $100,000 Cash Make-Whole Payment we may be required to pay B. Riley Principal Capital II to the extent the aggregate net proceeds received by B. Riley Principal Capital II from their resale of all or any portion of the Commitment Shares being offered by this prospectus is less than $100,000, (ii) the 3.5% fixed discount to current market prices of our Common Stock reflected in the purchase prices payable by B. Riley Principal Capital II for our Common Stock that we may require it to purchase from us from time to time under the Purchase Agreement, and (iii) our reimbursement of up to an aggregate of $115,000 of B. Riley Principal Capital II’s legal fees ($75,000 upon execution of the Purchase Agreement and $5,000 per fiscal quarter for the maximum two year term of the Purchase Agreement) in connection with the transactions contemplated by the Purchase Agreement and the Registration Rights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992004"/>
      <w:bookmarkEnd w:id="25"/>
      <w:r>
        <w:rPr>
          <w:rFonts w:ascii="Times New Roman PS Std;serif" w:hAnsi="Times New Roman PS Std;serif"/>
          <w:b/>
          <w:i w:val="false"/>
          <w:caps w:val="false"/>
          <w:smallCaps w:val="false"/>
          <w:sz w:val="20"/>
        </w:rPr>
        <w:t>MATERIAL U.S. FEDERAL INCOME TAX CONSEQUENCES TO NON-U.S.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discussion of certain material U.S. federal income tax consequences to Non-U.S. holders (as defined below) of the ownership and disposition of shares of our Common Stock that are being offered pursuant to this prospectus. This discussion applies only to holders that hold shares of our Common Stock as capital assets within the meaning of Section 1221 of the Code (the “Code”) (generally, property held for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a summary only and does not describe all of the tax consequences that may be relevant to a particular holder in light of such holder’s particular circumstances, including but not limited to the alternative minimum tax, the Medicare tax on certain net investment income and the different consequences that may apply if you are subject to special rules under U.S. federal income tax laws that apply to certain types of investors,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financial institutions or financial services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 dealers or traders in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governments or agencies or instrumentalities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 or mutual funds;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expatriates or former citizens or long-term residents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specifically provided below, persons that actually or constructively own five percent or more (by vote or value)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acquired shares of our Common Stock pursuant to an exercise of employee share options, in connection with employee share incentive plans or otherwise as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a mark-to-market method of accounting;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shares of our Common Stock as part of a “straddle,” constructive sale, hedge, wash sale, conversion or other integrated or similar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or other pass-through entities or arrangements for U.S. federal income tax purposes and any holders of interests therein;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controlled foreign corporations;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passive foreign investment companies;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U.S. federal income tax purposes) holds shares of our Common Stock, the tax treatment of a partner in such partnership will generally depend upon the status of the partner, the activities of the partnership and certain determinations made at the partner level. If you are a partnership or a partner of a partnership holding shares of our Common Stock, you are urged to consult your tax advisor regarding the tax consequences of the ownership and disposition of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U.S. state or local or non-U.S. taxation, or any U.S. federal taxes other than income taxes (such as gift and estate taxes).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U.S. state or local or non-U.S.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THIS DISCUSSION IS ONLY A SUMMARY OF CERTAIN U.S. FEDERAL INCOME TAX CONSEQUENCES ASSOCIATED WITH THE OWNERSHIP AND DISPOSITION OF </w:t>
      </w:r>
      <w:r>
        <w:rPr>
          <w:rFonts w:ascii="Times New Roman PS Std;serif" w:hAnsi="Times New Roman PS Std;serif"/>
          <w:b/>
          <w:i w:val="false"/>
          <w:caps/>
          <w:sz w:val="20"/>
        </w:rPr>
        <w:t>shares of our Common Stock that are being offered pursuant to this prospectus</w:t>
      </w:r>
      <w:r>
        <w:rPr>
          <w:rFonts w:ascii="Times New Roman PS Std;serif" w:hAnsi="Times New Roman PS Std;serif"/>
          <w:b/>
          <w:i w:val="false"/>
          <w:caps w:val="false"/>
          <w:smallCaps w:val="false"/>
          <w:sz w:val="20"/>
        </w:rPr>
        <w:t>. EACH PROSPECTIVE INVESTOR IN SHARES OF OUR COMMON STOCK IS URGED TO CONSULT ITS OWN TAX ADVISOR WITH RESPECT TO THE PARTICULAR TAX CONSEQUENCES TO SUCH INVESTOR OF THE OWNERSHIP AND DISPOSITION OF SHARES OF OUR COMMON STOCK, INCLUDING THE APPLICABILITY AND EFFECT OF ANY U.S. FEDERAL, STATE AND LOCAL, AND NON-U.S. TAX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herein, the term “Non-U.S. holder” means a beneficial owner of shares of our Common Stock that is not a “U.S. person” for U.S. federal income tax purposes. A U.S. person is any person who or that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includible in gross income for U.S. federal income tax purposes regardless of its source;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required by an applicable income tax treaty, attributable to a U.S. permanent establishment or fixed base maintained by such Non-U.S. holder in the United States), us or the applicable withholding agent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PS Std;serif" w:hAnsi="Times New Roman PS Std;serif"/>
          <w:b w:val="false"/>
          <w:i/>
          <w:caps w:val="false"/>
          <w:smallCaps w:val="false"/>
          <w:sz w:val="20"/>
        </w:rPr>
        <w:t>Non-U.S. Holders — Gain on Sale, Taxable Exchange or Other Taxable Disposition of Shares of Our Common Stock</w:t>
      </w:r>
      <w:r>
        <w:rPr>
          <w:rFonts w:ascii="Times New Roman PS Std;serif" w:hAnsi="Times New Roman PS Std;serif"/>
          <w:b w:val="false"/>
          <w:i w:val="false"/>
          <w:caps w:val="false"/>
          <w:smallCaps w:val="false"/>
          <w:sz w:val="20"/>
        </w:rPr>
        <w:t>”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withholding tax generally does not apply to dividends paid to a Non-U.S. holder who provides a Form W-8ECI, certifying that the dividends are effectively connected with the Non-U.S. holder’s conduct of a trade or business within the United States (and, if a tax treaty applies, are attributable to a permanent establishment or fixed base maintained by the Non-U.S. holder in the United States). Instead, the effectively connected dividends generally will be subject to regular U.S. federal income tax as if the Non-U.S. holder were a U.S. resident. A corporate Non-U.S. holder receiving effectively connected dividends may also be subject to an additional “branch profits tax” imposed at a rate of 30% (or a lower applicable treaty rate).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Gain on Sale, Taxable Exchange or Other Taxable Disposition of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regarding backup withholding and FATCA, a Non-U.S. holder generally will not be subject to U.S. federal income or withholding tax in respect of gain realized on a sale, taxable exchange or other taxable disposition of shares of our Common Stock,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gain is effectively connected with the conduct by the Non-U.S. holder of a trade or business within the United States (and, if an applicable income tax treaty so requires, is attributable to a permanent establishment or fixed base maintained by the Non-U.S. holder in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Non-U.S. holder is an individual who is present in the United States for a period or periods aggregating 183 days or more during the calendar year in which such disposition occurs and certain other conditions are met;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or have been a “United States real property holding corporation” for U.S. federal income tax purposes at any time during the shorter of the five-year period ending on the date of disposition or the Non-U.S. holder’s holding period for the Common Stock and, in the case where the shares of our Common Stock are “regularly traded on an established securities market” (within the meaning of applicable Treasury Regulations, referred to herein as “regularly traded”), the Non-U.S. holder has owned, whether actually or based on the application of constructive ownership rules, more than 5% of our Common Stock at any time within the shorter of the five-year period preceding such disposition of Common Stock or such Non-U.S. holder’s holding period for such Common Stock. There can be no assurance that our Common Stock will be treated as regularly traded for this 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lower applicable treaty rate). If the second bullet point applies to a Non-U.S. holder, such Non-U.S. holder will be subject to U.S. tax on such Non-U.S. holder’s gain at a tax rate of 30%, which may be offset by certain U.S.-source capital losses (even though the individual is not considered a resident of the United States), provided that the non-U.S. holder has timely filed U.S. federal income tax returns with respect to such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third bullet point above applies to a Non-U.S. holder, gain recognized by such Non-U.S. holder will be subject to tax at generally applicable U.S. federal income tax rates. In addition, a buyer may be required to withhold U.S. federal income tax at a rate of 15% of the amount realized upon such disposition. We would be classified as a “United States real property holding corporation” if the fair market value of our “United States real property interests” (as defined in the Code) equals or exceeds 50% of the sum of the fair market value of our worldwide real property interests plus our other assets used or held for use in a trade or business, as determined for U.S. federal income tax purposes. We believe that we are not and do not anticipate becoming a “United States real property holding corporation;” however, such determination is factual in nature and subject to change and no assurance can be provided as to whether we will become a “United States real property holding corporation” in the future.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returns generally will be filed with the IRS in connection with payments of distributions and the proceeds from a sale or other disposition of shares of our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(currently at a 24% rate)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FATCA Withholding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Sections 1471 through 1474 of the Code and the Treasury Regulations and administrative guidance promulgated thereunder (commonly referred to as “FATCA”) generally impose withholding of 30% on payments of dividends on shares of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Withholding under FATCA was scheduled to apply to payments of gross proceeds from the sale or other disposition of property that produces U.S.-source interest or dividends beginning on January 1, 2019, but the IRS has released proposed regulations that, if finalized in their proposed form, generally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Non-U.S. holders should consult their tax advisors regarding the effects of FATCA on their ownership and disposition of shares of our Common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2"/>
      <w:bookmarkEnd w:id="26"/>
      <w:r>
        <w:rPr>
          <w:rFonts w:ascii="Times New Roman PS Std;serif" w:hAnsi="Times New Roman PS Std;serif"/>
          <w:b/>
          <w:i w:val="false"/>
          <w:caps w:val="false"/>
          <w:smallCaps w:val="false"/>
          <w:sz w:val="20"/>
        </w:rPr>
        <w:t>EXPERTS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Spectral MD Holdings, Ltd. as of December 31, 2022 and 2021, and for each of the years in the two-year period ended December 31, 2022, included in this prospectus, have been audited by KPMG LLP, an independent registered public accounting firm, as set forth in their report thereon, appearing elsewhere in this prospectus. Such financial statements are included in reliance upon the report of such firm given their authority as experts in accounting and auditing.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Rosecliff Acquisition Corp I as of December 31, 2022 and 2021, and for each of the years in the two-year period ended December 31, 2022, included in this prospectus, have been audited by WithumSmith+Brown, PC, an independent registered public accounting firm, as set forth in their report thereon, appearing elsewhere in this prospectus. Such financial statements are included in reliance upon the report of such firm given their authority as experts in accounting and auditing.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1"/>
      <w:bookmarkEnd w:id="27"/>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legality of the securities offered hereby will be passed upon for us by Reed Smith LLP.</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file annual, quarterly and current reports, proxy statements and other information with the SEC. We have also filed a registration statement on Form S-1, including exhibits, under the Securities Act with respect to the shares of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Those filings are also available to the public on, or accessible through, our website under the heading “Investors Relations” at </w:t>
      </w:r>
      <w:r>
        <w:rPr>
          <w:rFonts w:ascii="Times New Roman PS Std;serif" w:hAnsi="Times New Roman PS Std;serif"/>
          <w:b w:val="false"/>
          <w:i/>
          <w:caps w:val="false"/>
          <w:smallCaps w:val="false"/>
          <w:sz w:val="20"/>
        </w:rPr>
        <w:t>https://www.spectral-ai.com/</w:t>
      </w:r>
      <w:r>
        <w:rPr>
          <w:rFonts w:ascii="Times New Roman PS Std;serif" w:hAnsi="Times New Roman PS Std;serif"/>
          <w:b w:val="false"/>
          <w:i w:val="false"/>
          <w:caps w:val="false"/>
          <w:smallCaps w:val="false"/>
          <w:sz w:val="20"/>
        </w:rPr>
        <w:t>. The information on our web site, however, is not, and should not be deemed to be, a part of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992001"/>
      <w:bookmarkEnd w:id="28"/>
      <w:r>
        <w:rPr>
          <w:rFonts w:ascii="Times New Roman PS Std;serif" w:hAnsi="Times New Roman PS Std;serif"/>
          <w:b/>
          <w:i w:val="false"/>
          <w:caps w:val="false"/>
          <w:smallCaps w:val="false"/>
          <w:sz w:val="20"/>
        </w:rPr>
        <w:t>INDEX TO FINANCIAL STATEMENTS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ROSECLIFF ACQUISITION CORP I</w:t>
        <w:br/>
        <w:t>AUDITED CONSOLIDATED FINANCIAL STATEMENTS</w:t>
        <w:br/>
        <w:t>AS OF AND FOR THE YEARS ENDED DECEMBER 31, 2022 AND 2021</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01">
              <w:r>
                <w:rPr>
                  <w:rStyle w:val="InternetLink"/>
                  <w:rFonts w:ascii="Times New Roman PS Std;serif" w:hAnsi="Times New Roman PS Std;serif"/>
                  <w:b w:val="false"/>
                  <w:i w:val="false"/>
                  <w:caps w:val="false"/>
                  <w:smallCaps w:val="false"/>
                  <w:sz w:val="20"/>
                </w:rPr>
                <w:t>Balance Sheets as of December 31, 2022 and December 31, 2021</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02">
              <w:r>
                <w:rPr>
                  <w:rStyle w:val="InternetLink"/>
                  <w:rFonts w:ascii="Times New Roman PS Std;serif" w:hAnsi="Times New Roman PS Std;serif"/>
                  <w:b w:val="false"/>
                  <w:i w:val="false"/>
                  <w:caps w:val="false"/>
                  <w:smallCaps w:val="false"/>
                  <w:sz w:val="20"/>
                </w:rPr>
                <w:t>Statements of Operations for the years ended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03">
              <w:r>
                <w:rPr>
                  <w:rStyle w:val="InternetLink"/>
                  <w:rFonts w:ascii="Times New Roman PS Std;serif" w:hAnsi="Times New Roman PS Std;serif"/>
                  <w:b w:val="false"/>
                  <w:i w:val="false"/>
                  <w:caps w:val="false"/>
                  <w:smallCaps w:val="false"/>
                  <w:sz w:val="20"/>
                </w:rPr>
                <w:t>Statements of Changes in Stockholders’ Deficit for the years ended December 31, 2022 and 2021</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04">
              <w:r>
                <w:rPr>
                  <w:rStyle w:val="InternetLink"/>
                  <w:rFonts w:ascii="Times New Roman PS Std;serif" w:hAnsi="Times New Roman PS Std;serif"/>
                  <w:b w:val="false"/>
                  <w:i w:val="false"/>
                  <w:caps w:val="false"/>
                  <w:smallCaps w:val="false"/>
                  <w:sz w:val="20"/>
                </w:rPr>
                <w:t>Statements of Cash Flows for the years ended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05">
              <w:r>
                <w:rPr>
                  <w:rStyle w:val="InternetLink"/>
                  <w:rFonts w:ascii="Times New Roman PS Std;serif" w:hAnsi="Times New Roman PS Std;serif"/>
                  <w:b w:val="false"/>
                  <w:i w:val="false"/>
                  <w:caps w:val="false"/>
                  <w:smallCaps w:val="false"/>
                  <w:sz w:val="20"/>
                </w:rPr>
                <w:t>Notes to Financial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AUDITED CONSOLIDATED FINANCIAL STATEMENTS</w:t>
        <w:br/>
        <w:t>AS OF AND FOR THE YEARS ENDED DECEMBER 31, 2022 AND 2021</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06">
              <w:r>
                <w:rPr>
                  <w:rStyle w:val="InternetLink"/>
                  <w:rFonts w:ascii="Times New Roman PS Std;serif" w:hAnsi="Times New Roman PS Std;serif"/>
                  <w:b w:val="false"/>
                  <w:i w:val="false"/>
                  <w:caps w:val="false"/>
                  <w:smallCaps w:val="false"/>
                  <w:sz w:val="20"/>
                </w:rPr>
                <w:t>Consolidated Balance Sheets for the years ended December 31, 2022, and 2021</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07">
              <w:r>
                <w:rPr>
                  <w:rStyle w:val="InternetLink"/>
                  <w:rFonts w:ascii="Times New Roman PS Std;serif" w:hAnsi="Times New Roman PS Std;serif"/>
                  <w:b w:val="false"/>
                  <w:i w:val="false"/>
                  <w:caps w:val="false"/>
                  <w:smallCaps w:val="false"/>
                  <w:sz w:val="20"/>
                </w:rPr>
                <w:t>Consolidated Statement of Operations for the years ended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08">
              <w:r>
                <w:rPr>
                  <w:rStyle w:val="InternetLink"/>
                  <w:rFonts w:ascii="Times New Roman PS Std;serif" w:hAnsi="Times New Roman PS Std;serif"/>
                  <w:b w:val="false"/>
                  <w:i w:val="false"/>
                  <w:caps w:val="false"/>
                  <w:smallCaps w:val="false"/>
                  <w:sz w:val="20"/>
                </w:rPr>
                <w:t>Consolidated Statements of Changes in Equity for the years ended December 31, 2022, and 2021</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09">
              <w:r>
                <w:rPr>
                  <w:rStyle w:val="InternetLink"/>
                  <w:rFonts w:ascii="Times New Roman PS Std;serif" w:hAnsi="Times New Roman PS Std;serif"/>
                  <w:b w:val="false"/>
                  <w:i w:val="false"/>
                  <w:caps w:val="false"/>
                  <w:smallCaps w:val="false"/>
                  <w:sz w:val="20"/>
                </w:rPr>
                <w:t>Consolidated Statements of Cash Flows for the years ended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10">
              <w:r>
                <w:rPr>
                  <w:rStyle w:val="InternetLink"/>
                  <w:rFonts w:ascii="Times New Roman PS Std;serif" w:hAnsi="Times New Roman PS Std;serif"/>
                  <w:b w:val="false"/>
                  <w:i w:val="false"/>
                  <w:caps w:val="false"/>
                  <w:smallCaps w:val="false"/>
                  <w:sz w:val="20"/>
                </w:rPr>
                <w:t>Notes to the Financial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F-29</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UNAUDITED CONSOLIDATED FINANCIAL STATEMENTS</w:t>
        <w:br/>
        <w:t>AS OF AND FOR THE NINE MONTHS ENDED SEPTEMBER 30, 2023 AND 2022</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11">
              <w:r>
                <w:rPr>
                  <w:rStyle w:val="InternetLink"/>
                  <w:rFonts w:ascii="Times New Roman PS Std;serif" w:hAnsi="Times New Roman PS Std;serif"/>
                  <w:b w:val="false"/>
                  <w:i w:val="false"/>
                  <w:caps w:val="false"/>
                  <w:smallCaps w:val="false"/>
                  <w:sz w:val="20"/>
                </w:rPr>
                <w:t xml:space="preserve">Unaudited Condensed Consolidated Balance Sheets as of September 30, 2023 and </w:t>
                <w:br/>
                <w:t>December 31, 2022</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F-45</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12">
              <w:r>
                <w:rPr>
                  <w:rStyle w:val="InternetLink"/>
                  <w:rFonts w:ascii="Times New Roman PS Std;serif" w:hAnsi="Times New Roman PS Std;serif"/>
                  <w:b w:val="false"/>
                  <w:i w:val="false"/>
                  <w:caps w:val="false"/>
                  <w:smallCaps w:val="false"/>
                  <w:sz w:val="20"/>
                </w:rPr>
                <w:t>Unaudited Condensed Consolidated Statements of Operations for the three and nine months ended September 30, 2023 and 2022</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13">
              <w:r>
                <w:rPr>
                  <w:rStyle w:val="InternetLink"/>
                  <w:rFonts w:ascii="Times New Roman PS Std;serif" w:hAnsi="Times New Roman PS Std;serif"/>
                  <w:b w:val="false"/>
                  <w:i w:val="false"/>
                  <w:caps w:val="false"/>
                  <w:smallCaps w:val="false"/>
                  <w:sz w:val="20"/>
                </w:rPr>
                <w:t>Unaudited Condensed Consolidated Statements of Changes in Stockholders’ Equity (Deficit) for the three and nine months ended September 30, 2023 and 2022</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14">
              <w:r>
                <w:rPr>
                  <w:rStyle w:val="InternetLink"/>
                  <w:rFonts w:ascii="Times New Roman PS Std;serif" w:hAnsi="Times New Roman PS Std;serif"/>
                  <w:b w:val="false"/>
                  <w:i w:val="false"/>
                  <w:caps w:val="false"/>
                  <w:smallCaps w:val="false"/>
                  <w:sz w:val="20"/>
                </w:rPr>
                <w:t>Unaudited Condensed Consolidated Statements of Cash Flows for the nine months ended September 30, 2023 and 2022</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15">
              <w:r>
                <w:rPr>
                  <w:rStyle w:val="InternetLink"/>
                  <w:rFonts w:ascii="Times New Roman PS Std;serif" w:hAnsi="Times New Roman PS Std;serif"/>
                  <w:b w:val="false"/>
                  <w:i w:val="false"/>
                  <w:caps w:val="false"/>
                  <w:smallCaps w:val="false"/>
                  <w:sz w:val="20"/>
                </w:rPr>
                <w:t>Notes to Unaudited Condensed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F-49</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Report of Independent Registered Public Accounting Firm</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and the Board of Directors of</w:t>
        <w:br/>
        <w:t>Rosecliff Acquisition Corp I</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balance sheets of Rosecliff Acquisition Corp. I (the “Company”) as of December 31, 2022 and 2021, the related statements of operations, changes in stockholders’ deficit and cash flows for the years then ended,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February 17, 2024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WithumSmith+Brown,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2020.</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w:t>
        <w:br/>
        <w:t>March 31, 2023</w:t>
        <w:br/>
        <w:t>PCAOB ID Number 100</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1001"/>
      <w:bookmarkEnd w:id="29"/>
      <w:r>
        <w:rPr>
          <w:rFonts w:ascii="Times New Roman PS Std;serif" w:hAnsi="Times New Roman PS Std;serif"/>
          <w:b/>
          <w:i w:val="false"/>
          <w:caps w:val="false"/>
          <w:smallCaps w:val="false"/>
          <w:sz w:val="20"/>
        </w:rPr>
        <w:t>ROSECLIFF ACQUISITION CORP I</w:t>
        <w:br/>
        <w:t>BALANCE SHEETS</w:t>
      </w:r>
    </w:p>
    <w:tbl>
      <w:tblPr>
        <w:tblW w:w="10205" w:type="dxa"/>
        <w:jc w:val="left"/>
        <w:tblInd w:w="0" w:type="dxa"/>
        <w:tblLayout w:type="fixed"/>
        <w:tblCellMar>
          <w:top w:w="0" w:type="dxa"/>
          <w:left w:w="0" w:type="dxa"/>
          <w:bottom w:w="0" w:type="dxa"/>
          <w:right w:w="0" w:type="dxa"/>
        </w:tblCellMar>
      </w:tblPr>
      <w:tblGrid>
        <w:gridCol w:w="6127"/>
        <w:gridCol w:w="146"/>
        <w:gridCol w:w="241"/>
        <w:gridCol w:w="1426"/>
        <w:gridCol w:w="181"/>
        <w:gridCol w:w="146"/>
        <w:gridCol w:w="241"/>
        <w:gridCol w:w="1471"/>
        <w:gridCol w:w="226"/>
      </w:tblGrid>
      <w:tr>
        <w:trPr/>
        <w:tc>
          <w:tcPr>
            <w:tcW w:w="612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9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p>
        </w:tc>
      </w:tr>
      <w:tr>
        <w:trPr/>
        <w:tc>
          <w:tcPr>
            <w:tcW w:w="61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785,038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769,432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153,575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313,125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938,613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1,082,557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and cash held in Trust Account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4,626,107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253,027,240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5,564,720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254,109,797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CLASS A COMMON STOCK SUBJECT TO POSSIBLE REDEMPTION, AND STOCKHOLDERS’ DEFICIT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3,352,296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2,908,800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payable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255,297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Sponsor</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16,152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16,152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3,623,745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2,936,952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10,142,642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 payable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8,855,000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8,855,000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12,872,945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21,934,594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vAlign w:val="bottom"/>
          </w:tcPr>
          <w:p>
            <w:pPr>
              <w:pStyle w:val="TableContents"/>
              <w:bidi w:val="0"/>
              <w:spacing w:before="0" w:after="0"/>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vAlign w:val="bottom"/>
          </w:tcPr>
          <w:p>
            <w:pPr>
              <w:pStyle w:val="TableContents"/>
              <w:bidi w:val="0"/>
              <w:spacing w:before="0" w:after="0"/>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 subject to possible redemption: 458,716 and 25,300,000 shares at approximately $10.44 and $10.00 per share redemption value at December 31, 2022 and 2021, respectively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4,787,977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DEFICIT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$0.0001 par value; 1,000,000 shares authorized; none issued and outstanding</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 $0.0001 par value; 80,000,000 shares authorized, none outstanding (less 458,716 and 25,300,000 shares subject to possible redemption at December 31, 2022 and 2021, respectively)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 $0.0001 par value; 20,000,000 shares authorized; 6,325,000 shares issued and outstanding at December 31, 2022 and 2021</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(12,096,835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(20,825,430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DEFICIT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(12,096,202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(20,824,797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CLASS A COMMON STOCK SUBJECT TO POSSIBLE REDEMPTION, AND STOCKHOLDERS’ DEFICIT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5,564,720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254,109,797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1002"/>
      <w:bookmarkEnd w:id="30"/>
      <w:r>
        <w:rPr>
          <w:rFonts w:ascii="Times New Roman PS Std;serif" w:hAnsi="Times New Roman PS Std;serif"/>
          <w:b/>
          <w:i w:val="false"/>
          <w:caps w:val="false"/>
          <w:smallCaps w:val="false"/>
          <w:sz w:val="20"/>
        </w:rPr>
        <w:t>ROSECLIFF ACQUISITION CORP I</w:t>
        <w:br/>
        <w:t>STATEMENTS OF OPERATIONS</w:t>
      </w:r>
    </w:p>
    <w:tbl>
      <w:tblPr>
        <w:tblW w:w="10205" w:type="dxa"/>
        <w:jc w:val="left"/>
        <w:tblInd w:w="0" w:type="dxa"/>
        <w:tblLayout w:type="fixed"/>
        <w:tblCellMar>
          <w:top w:w="0" w:type="dxa"/>
          <w:left w:w="0" w:type="dxa"/>
          <w:bottom w:w="0" w:type="dxa"/>
          <w:right w:w="0" w:type="dxa"/>
        </w:tblCellMar>
      </w:tblPr>
      <w:tblGrid>
        <w:gridCol w:w="6412"/>
        <w:gridCol w:w="146"/>
        <w:gridCol w:w="241"/>
        <w:gridCol w:w="1336"/>
        <w:gridCol w:w="181"/>
        <w:gridCol w:w="146"/>
        <w:gridCol w:w="226"/>
        <w:gridCol w:w="1291"/>
        <w:gridCol w:w="226"/>
      </w:tblGrid>
      <w:tr>
        <w:trPr/>
        <w:tc>
          <w:tcPr>
            <w:tcW w:w="64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4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6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1,251,036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3,420,593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(1,251,036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(3,420,593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9,748,442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1,683,358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allocated to warrant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(438,283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earned on investment held in Trust Account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3,155,965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27,240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12,904,407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1,272,315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(loss) before provision for income taxes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11,653,371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(2,148,278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 (expense)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(614,297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11,039,074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(2,148,278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Class A common stock</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25,095,264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21,972,877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bidi w:val="0"/>
              <w:spacing w:before="0" w:after="283"/>
              <w:jc w:val="left"/>
              <w:rPr>
                <w:b/>
                <w:i w:val="false"/>
                <w:caps w:val="false"/>
                <w:smallCaps w:val="false"/>
              </w:rPr>
            </w:pPr>
            <w:r>
              <w:rPr>
                <w:b/>
                <w:i w:val="false"/>
                <w:caps w:val="false"/>
                <w:smallCaps w:val="false"/>
              </w:rPr>
              <w:t>Basic and diluted net income (loss) per share, Class A common stock</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0.35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Class B common stock</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6,325,000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6,216,507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bidi w:val="0"/>
              <w:spacing w:before="0" w:after="283"/>
              <w:jc w:val="left"/>
              <w:rPr>
                <w:b/>
                <w:i w:val="false"/>
                <w:caps w:val="false"/>
                <w:smallCaps w:val="false"/>
              </w:rPr>
            </w:pPr>
            <w:r>
              <w:rPr>
                <w:b/>
                <w:i w:val="false"/>
                <w:caps w:val="false"/>
                <w:smallCaps w:val="false"/>
              </w:rPr>
              <w:t>Basic and diluted net income (loss) per share, Class B common stock</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0.35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1003"/>
      <w:bookmarkEnd w:id="31"/>
      <w:r>
        <w:rPr>
          <w:rFonts w:ascii="Times New Roman PS Std;serif" w:hAnsi="Times New Roman PS Std;serif"/>
          <w:b/>
          <w:i w:val="false"/>
          <w:caps w:val="false"/>
          <w:smallCaps w:val="false"/>
          <w:sz w:val="20"/>
        </w:rPr>
        <w:t>ROSECLIFF ACQUISITION CORP I</w:t>
        <w:br/>
        <w:t>STATEMENTS OF CHANGES IN STOCKHOLDERS’ DEFICIT</w:t>
        <w:br/>
        <w:t>FOR THE YEARS ENDED DECEMBER 31, 2022 AND 2021</w:t>
      </w:r>
    </w:p>
    <w:tbl>
      <w:tblPr>
        <w:tblW w:w="12806" w:type="dxa"/>
        <w:jc w:val="left"/>
        <w:tblInd w:w="0" w:type="dxa"/>
        <w:tblLayout w:type="fixed"/>
        <w:tblCellMar>
          <w:top w:w="0" w:type="dxa"/>
          <w:left w:w="0" w:type="dxa"/>
          <w:bottom w:w="0" w:type="dxa"/>
          <w:right w:w="0" w:type="dxa"/>
        </w:tblCellMar>
      </w:tblPr>
      <w:tblGrid>
        <w:gridCol w:w="2651"/>
        <w:gridCol w:w="146"/>
        <w:gridCol w:w="811"/>
        <w:gridCol w:w="146"/>
        <w:gridCol w:w="376"/>
        <w:gridCol w:w="540"/>
        <w:gridCol w:w="146"/>
        <w:gridCol w:w="1201"/>
        <w:gridCol w:w="146"/>
        <w:gridCol w:w="293"/>
        <w:gridCol w:w="623"/>
        <w:gridCol w:w="146"/>
        <w:gridCol w:w="241"/>
        <w:gridCol w:w="1141"/>
        <w:gridCol w:w="181"/>
        <w:gridCol w:w="146"/>
        <w:gridCol w:w="226"/>
        <w:gridCol w:w="1426"/>
        <w:gridCol w:w="181"/>
        <w:gridCol w:w="146"/>
        <w:gridCol w:w="241"/>
        <w:gridCol w:w="1426"/>
        <w:gridCol w:w="226"/>
      </w:tblGrid>
      <w:tr>
        <w:trPr/>
        <w:tc>
          <w:tcPr>
            <w:tcW w:w="2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73"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br/>
              <w:t>Common Stock</w:t>
            </w:r>
          </w:p>
        </w:tc>
        <w:tc>
          <w:tcPr>
            <w:tcW w:w="146" w:type="dxa"/>
            <w:tcBorders/>
            <w:vAlign w:val="bottom"/>
          </w:tcPr>
          <w:p>
            <w:pPr>
              <w:pStyle w:val="TableContents"/>
              <w:bidi w:val="0"/>
              <w:spacing w:before="0" w:after="283"/>
              <w:jc w:val="left"/>
              <w:rPr/>
            </w:pPr>
            <w:r>
              <w:rPr/>
              <w:t> </w:t>
            </w:r>
          </w:p>
        </w:tc>
        <w:tc>
          <w:tcPr>
            <w:tcW w:w="2263"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B(1)</w:t>
              <w:br/>
              <w:t>Common Stock</w:t>
            </w:r>
          </w:p>
        </w:tc>
        <w:tc>
          <w:tcPr>
            <w:tcW w:w="146" w:type="dxa"/>
            <w:tcBorders/>
            <w:vAlign w:val="bottom"/>
          </w:tcPr>
          <w:p>
            <w:pPr>
              <w:pStyle w:val="TableContents"/>
              <w:bidi w:val="0"/>
              <w:spacing w:before="0" w:after="283"/>
              <w:jc w:val="left"/>
              <w:rPr/>
            </w:pPr>
            <w:r>
              <w:rPr/>
              <w:t> </w:t>
            </w:r>
          </w:p>
        </w:tc>
        <w:tc>
          <w:tcPr>
            <w:tcW w:w="156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83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189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Stockholders’</w:t>
              <w:br/>
              <w:t>Deficit</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56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3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93" w:type="dxa"/>
            <w:gridSpan w:val="3"/>
            <w:vMerge w:val="continue"/>
            <w:tcBorders/>
            <w:vAlign w:val="bottom"/>
          </w:tcPr>
          <w:p>
            <w:pPr>
              <w:pStyle w:val="Normal"/>
              <w:bidi w:val="0"/>
              <w:jc w:val="left"/>
              <w:rPr/>
            </w:pPr>
            <w:r>
              <w:rPr/>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December 31, 2020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0" w:type="dxa"/>
            <w:tcBorders/>
            <w:shd w:fill="CCEEFF" w:val="clear"/>
            <w:vAlign w:val="bottom"/>
          </w:tcPr>
          <w:p>
            <w:pPr>
              <w:pStyle w:val="TableContents"/>
              <w:bidi w:val="0"/>
              <w:spacing w:before="0" w:after="283"/>
              <w:jc w:val="lef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6,325,000</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24,367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24,325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in excess of fair value of Private Placement warrants</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0" w:type="dxa"/>
            <w:tcBorders/>
            <w:vAlign w:val="bottom"/>
          </w:tcPr>
          <w:p>
            <w:pPr>
              <w:pStyle w:val="TableContents"/>
              <w:bidi w:val="0"/>
              <w:spacing w:before="0" w:after="283"/>
              <w:jc w:val="left"/>
              <w:rPr/>
            </w:pPr>
            <w:r>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3" w:type="dxa"/>
            <w:tcBorders/>
            <w:vAlign w:val="bottom"/>
          </w:tcPr>
          <w:p>
            <w:pPr>
              <w:pStyle w:val="TableContents"/>
              <w:bidi w:val="0"/>
              <w:spacing w:before="0" w:after="283"/>
              <w:jc w:val="left"/>
              <w:rPr/>
            </w:pPr>
            <w:r>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2,824,000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2,824,000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Class A common stock to redemption amount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0" w:type="dxa"/>
            <w:tcBorders/>
            <w:shd w:fill="CCEEFF" w:val="clear"/>
            <w:vAlign w:val="bottom"/>
          </w:tcPr>
          <w:p>
            <w:pPr>
              <w:pStyle w:val="TableContents"/>
              <w:bidi w:val="0"/>
              <w:spacing w:before="0" w:after="283"/>
              <w:jc w:val="left"/>
              <w:rPr/>
            </w:pPr>
            <w:r>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3" w:type="dxa"/>
            <w:tcBorders/>
            <w:shd w:fill="CCEEFF" w:val="clear"/>
            <w:vAlign w:val="bottom"/>
          </w:tcPr>
          <w:p>
            <w:pPr>
              <w:pStyle w:val="TableContents"/>
              <w:bidi w:val="0"/>
              <w:spacing w:before="0" w:after="283"/>
              <w:jc w:val="left"/>
              <w:rPr/>
            </w:pPr>
            <w:r>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(2,848,367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(18,676,477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(21,524,844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0" w:type="dxa"/>
            <w:tcBorders/>
            <w:vAlign w:val="bottom"/>
          </w:tcPr>
          <w:p>
            <w:pPr>
              <w:pStyle w:val="TableContents"/>
              <w:bidi w:val="0"/>
              <w:spacing w:before="0" w:after="283"/>
              <w:jc w:val="left"/>
              <w:rPr/>
            </w:pPr>
            <w:r>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3" w:type="dxa"/>
            <w:tcBorders/>
            <w:vAlign w:val="bottom"/>
          </w:tcPr>
          <w:p>
            <w:pPr>
              <w:pStyle w:val="TableContents"/>
              <w:bidi w:val="0"/>
              <w:spacing w:before="0" w:after="283"/>
              <w:jc w:val="left"/>
              <w:rPr/>
            </w:pPr>
            <w:r>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(2,148,278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(2,148,278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2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December 31, 2021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0" w:type="dxa"/>
            <w:tcBorders/>
            <w:vAlign w:val="bottom"/>
          </w:tcPr>
          <w:p>
            <w:pPr>
              <w:pStyle w:val="TableContents"/>
              <w:bidi w:val="0"/>
              <w:spacing w:before="0" w:after="283"/>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6,325,000</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(20,825,430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(20,824,797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Class A common stock to redemption amount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0" w:type="dxa"/>
            <w:tcBorders/>
            <w:shd w:fill="CCEEFF" w:val="clear"/>
            <w:vAlign w:val="bottom"/>
          </w:tcPr>
          <w:p>
            <w:pPr>
              <w:pStyle w:val="TableContents"/>
              <w:bidi w:val="0"/>
              <w:spacing w:before="0" w:after="283"/>
              <w:jc w:val="left"/>
              <w:rPr/>
            </w:pPr>
            <w:r>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3" w:type="dxa"/>
            <w:tcBorders/>
            <w:shd w:fill="CCEEFF" w:val="clear"/>
            <w:vAlign w:val="bottom"/>
          </w:tcPr>
          <w:p>
            <w:pPr>
              <w:pStyle w:val="TableContents"/>
              <w:bidi w:val="0"/>
              <w:spacing w:before="0" w:after="283"/>
              <w:jc w:val="left"/>
              <w:rPr/>
            </w:pPr>
            <w:r>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(2,310,479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(2,310,479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0" w:type="dxa"/>
            <w:tcBorders/>
            <w:vAlign w:val="bottom"/>
          </w:tcPr>
          <w:p>
            <w:pPr>
              <w:pStyle w:val="TableContents"/>
              <w:bidi w:val="0"/>
              <w:spacing w:before="0" w:after="283"/>
              <w:jc w:val="left"/>
              <w:rPr/>
            </w:pPr>
            <w:r>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3" w:type="dxa"/>
            <w:tcBorders/>
            <w:vAlign w:val="bottom"/>
          </w:tcPr>
          <w:p>
            <w:pPr>
              <w:pStyle w:val="TableContents"/>
              <w:bidi w:val="0"/>
              <w:spacing w:before="0" w:after="283"/>
              <w:jc w:val="left"/>
              <w:rPr/>
            </w:pPr>
            <w:r>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11,039,074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11,039,074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December 31, 2022</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40" w:type="dxa"/>
            <w:tcBorders>
              <w:bottom w:val="double" w:sz="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6,325,000</w:t>
            </w:r>
          </w:p>
        </w:tc>
        <w:tc>
          <w:tcPr>
            <w:tcW w:w="146" w:type="dxa"/>
            <w:tcBorders/>
            <w:shd w:fill="CCEEFF" w:val="clear"/>
            <w:vAlign w:val="bottom"/>
          </w:tcPr>
          <w:p>
            <w:pPr>
              <w:pStyle w:val="TableContents"/>
              <w:bidi w:val="0"/>
              <w:spacing w:before="0" w:after="283"/>
              <w:jc w:val="left"/>
              <w:rPr/>
            </w:pPr>
            <w:r>
              <w:rPr/>
              <w:t> </w:t>
            </w:r>
          </w:p>
        </w:tc>
        <w:tc>
          <w:tcPr>
            <w:tcW w:w="2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(12,096,835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(12,096,202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On February 11, 2021, the Company effected a 1:1.1 stock split of its Class B common stock, resulting in an aggregate of 6,325,000 shares outstanding. All share and per-share amounts have been retroactively restated to reflect the stock split.</w:t>
      </w:r>
    </w:p>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1004"/>
      <w:bookmarkEnd w:id="32"/>
      <w:r>
        <w:rPr>
          <w:rFonts w:ascii="Times New Roman PS Std;serif" w:hAnsi="Times New Roman PS Std;serif"/>
          <w:b/>
          <w:i w:val="false"/>
          <w:caps w:val="false"/>
          <w:smallCaps w:val="false"/>
          <w:sz w:val="20"/>
        </w:rPr>
        <w:t>ROSECLIFF ACQUISITION CORP I</w:t>
        <w:br/>
        <w:t>STATEMENTS OF CASH FLOWS</w:t>
      </w:r>
    </w:p>
    <w:tbl>
      <w:tblPr>
        <w:tblW w:w="10205" w:type="dxa"/>
        <w:jc w:val="left"/>
        <w:tblInd w:w="0" w:type="dxa"/>
        <w:tblLayout w:type="fixed"/>
        <w:tblCellMar>
          <w:top w:w="0" w:type="dxa"/>
          <w:left w:w="0" w:type="dxa"/>
          <w:bottom w:w="0" w:type="dxa"/>
          <w:right w:w="0" w:type="dxa"/>
        </w:tblCellMar>
      </w:tblPr>
      <w:tblGrid>
        <w:gridCol w:w="5902"/>
        <w:gridCol w:w="146"/>
        <w:gridCol w:w="241"/>
        <w:gridCol w:w="1561"/>
        <w:gridCol w:w="181"/>
        <w:gridCol w:w="146"/>
        <w:gridCol w:w="241"/>
        <w:gridCol w:w="1561"/>
        <w:gridCol w:w="226"/>
      </w:tblGrid>
      <w:tr>
        <w:trPr/>
        <w:tc>
          <w:tcPr>
            <w:tcW w:w="590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15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9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20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11,039,074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(2,148,278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income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(9,748,442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(1,683,358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allocated to warrant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438,283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earned on investments held in Trust Account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(3,155,965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(27,240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159,550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(313,125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443,496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2,908,125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payable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255,297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(1,018,990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(825,593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withdrawn from Trust Account to pay franchise and income taxes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1,034,596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withdrawn from Trust Account in connection with redemptions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250,522,502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of cash in Trust Account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(253,000,000</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(used in) investing activities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251,557,098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(253,000,000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Units, net of underwriting discounts paid</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247,940,000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Private Placements Warrants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7,060,000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promissory note – related party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109,152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promissory note – related party</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(133,000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offering costs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(381,127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Redemptions of common stock</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(250,522,502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provided by financing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(250,522,502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254,595,025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15,606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769,432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 Beginning of year</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769,432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 End of year</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785,038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769,432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5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costs included in accrued offering costs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61" w:type="dxa"/>
            <w:tcBorders>
              <w:bottom w:val="double" w:sz="2" w:space="0" w:color="000000"/>
            </w:tcBorders>
            <w:tcMar>
              <w:bottom w:w="28" w:type="dxa"/>
            </w:tcMar>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359,000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61" w:type="dxa"/>
            <w:tcBorders>
              <w:bottom w:val="double" w:sz="2" w:space="0" w:color="000000"/>
            </w:tcBorders>
            <w:shd w:fill="CCEEFF" w:val="clear"/>
            <w:tcMar>
              <w:bottom w:w="28" w:type="dxa"/>
            </w:tcMar>
            <w:vAlign w:val="bottom"/>
          </w:tcPr>
          <w:p>
            <w:pPr>
              <w:pStyle w:val="TableContents"/>
              <w:bidi w:val="0"/>
              <w:spacing w:before="0" w:after="283"/>
              <w:jc w:val="left"/>
              <w:rPr/>
            </w:pPr>
            <w:r>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accrued expenses through promissory note</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61" w:type="dxa"/>
            <w:tcBorders>
              <w:bottom w:val="double" w:sz="2" w:space="0" w:color="000000"/>
            </w:tcBorders>
            <w:tcMar>
              <w:bottom w:w="28" w:type="dxa"/>
            </w:tcMar>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16,152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9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 payable</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61" w:type="dxa"/>
            <w:tcBorders>
              <w:bottom w:val="double" w:sz="2" w:space="0" w:color="000000"/>
            </w:tcBorders>
            <w:shd w:fill="CCEEFF" w:val="clear"/>
            <w:tcMar>
              <w:bottom w:w="28" w:type="dxa"/>
            </w:tcM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8,855,000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1005"/>
      <w:bookmarkEnd w:id="33"/>
      <w:r>
        <w:rPr>
          <w:rFonts w:ascii="Times New Roman PS Std;serif" w:hAnsi="Times New Roman PS Std;serif"/>
          <w:b/>
          <w:i w:val="false"/>
          <w:caps w:val="false"/>
          <w:smallCaps w:val="false"/>
          <w:sz w:val="20"/>
        </w:rPr>
        <w:t>ROSECLIFF ACQUISITION CORP I</w:t>
        <w:br/>
        <w:t>NOTES TO FINANCIAL STATEMENTS</w:t>
        <w:br/>
        <w:t>DECEMBER 31,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DESCRIPTION OF ORGANIZATION AND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Rosecliff Acquisition Corp I (the “Company”) is a blank check company incorporated in Delaware on November 17, 2020. The Company was formed for the purpose of effecting an initial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the Company had not commenced any operations. All activity for the period from November 17, 2020 (inception) through December 31, 2022 relates to the Company’s formation and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generates non-operating income in the form of interest income from the proceeds derived from the Initial Public Offering. The Company has selected December 31 as its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statement for the Company’s Initial Public Offering was declared effective on February 11, 2021. On February 17, 2021, the Company consummated the Initial Public Offering of 25,300,000 Units, which includes the full exercise by the underwriters of their over-allotment option in the amount of 3,300,000 Units, at $10.00 per Unit, generating gross proceeds of $253,000,000, which is described in Note 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4,706,667 warrants (the “Private Placement Warrants”) at a price of $1.50 per Private Placement Warrant in a private placement to Rosecliff Acquisition Sponsor I LLC (the “Sponsor”) generating gross proceeds of $7,060,000, which is described in Note 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amounted to $14,373,127, consisting of $5,060,000 in cash underwriting fees, $8,855,000 in deferred underwriting fees, and $458,127 of other offering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Initial Public Offering on February 17, 2021, an amount of $253,000,000 ($10.00 per Unit) from the net proceeds of the sale of the Units in the Initial Public Offering and the sale of the Private Placement Warrants was placed in a trust account (the “Trust Account”), located in the United States and was invested only in U.S. government securities, within the meaning set forth in Section 2(a)(16) of the Investment Company Act of 1940, as amended (the “Investment Company Act”), with a maturity of 185 days or less or in money market funds meeting certain conditions under Rule 2a-7 of the Investment Company Act, which invest only in direct U.S. government treasury obligations, as determined by the Company, until the earlier of (i) the completion of a Business Combination and (ii) the distribution of the funds held in the Trust Account,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that together have a fair market value equal to at least 80% of the assets held in the Trust Account (as defined below) (excluding any deferred underwriting commissions and taxes payable on the income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There is no assurance that the Company will be able to complete a Business Combination successfully.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will provide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will be entitled to redeem their Public Shares for a pro rata portion of the amount then held in the Trust Account (initially $10.00 per Public Share, </w:t>
      </w:r>
      <w:r>
        <w:rPr>
          <w:rFonts w:ascii="Times New Roman PS Std;serif" w:hAnsi="Times New Roman PS Std;serif"/>
          <w:b w:val="false"/>
          <w:i/>
          <w:caps w:val="false"/>
          <w:smallCaps w:val="false"/>
          <w:sz w:val="20"/>
        </w:rPr>
        <w:t>plus</w:t>
      </w:r>
      <w:r>
        <w:rPr>
          <w:rFonts w:ascii="Times New Roman PS Std;serif" w:hAnsi="Times New Roman PS Std;serif"/>
          <w:b w:val="false"/>
          <w:i w:val="false"/>
          <w:caps w:val="false"/>
          <w:smallCaps w:val="false"/>
          <w:sz w:val="20"/>
        </w:rPr>
        <w:t xml:space="preserve"> any pro rata interest then in the Trust Account, net of taxes payable). There will be no redemption rights upon the completion of a Business Combination with respect to the Company’s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Amended and Restated Certificate of Incorporation (the “Certificate of Incorporation”), conduct the redemptions pursuant to the tender offer rules of the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if the Company seeks stockholder approval of a Business Combination and it does not conduct redemptions pursuant to the tender offer rules, 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of the Public Shares, without the prior consent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by the Expiration Date (as defined below) or (ii) with respect to any other provision relating to stockholders’ rights or pre-business combination activity, unless the Company provides the Public Stockholders with the opportunity to redeem their Public Shares in conjunction with any such amendment.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will have until the Expiration Date to complete the Business Combination. If the Company has not completed a Business Combination by the Expiration Date,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w:t>
      </w:r>
      <w:r>
        <w:rPr>
          <w:rFonts w:ascii="Times New Roman PS Std;serif" w:hAnsi="Times New Roman PS Std;serif"/>
          <w:b w:val="false"/>
          <w:i/>
          <w:caps w:val="false"/>
          <w:smallCaps w:val="false"/>
          <w:sz w:val="20"/>
        </w:rPr>
        <w:t>divided by</w:t>
      </w:r>
      <w:r>
        <w:rPr>
          <w:rFonts w:ascii="Times New Roman PS Std;serif" w:hAnsi="Times New Roman PS Std;serif"/>
          <w:b w:val="false"/>
          <w:i w:val="false"/>
          <w:caps w:val="false"/>
          <w:smallCaps w:val="false"/>
          <w:sz w:val="20"/>
        </w:rPr>
        <w:t xml:space="preserve">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the Delaware General Corporation Law to provide for claims of creditors and the requirements of other applicable law. There will be no redemption rights or liquidating distributions with respect to the Company’s warrants, which will expire worthless if the Company fails to complete a Business Combination by the Expiration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Sponsor has agreed to waive its rights to liquidating distributions from the Trust Account with respect to the Founder Shares it will receive if the Company fails to complete a Business Combination by the Expiration Date. However, if the Sponsor or any of its respective affiliates acquire Public Shares, such Public Shares will be entitled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liquidating distributions from the Trust Account if the Company fails to complete a Business Combination within the Expiration Date. The underwriters have agreed to waive their rights to their deferred underwriting commission (see Note 6) held in the Trust Account in the event the Company does not complete a Business Combination by the Expiration Date,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such liability will not apply to any claims by a third party or prospective target business who executed a waiver of any and all rights to monies held in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Extension of the Expiration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Company’s special meeting of stockholders held on December 21, 2022, the Company’s stockholders approved (A) the proposal to amend the Company’s amended and restated certificate of incorporation to extend the date by which the Company must either (i) consummate the initial Business Combination, or (ii) cease its operations, except for the purpose of winding up if it fails to complete such initial Business Combination, and redeem all of the shares of Class A common stock, and all of the shares of Class B common stock, included as part of the units sold in the Company’s initial public offering that was consummated on February 17, 2021, from February 17, 2023 to February 17, 2024 and (B) the proposal to amend the amended and restated certificate of incorporation to eliminate the Redemption Limitation in order to allow the Company to redeem shares of Class A common stock irrespective of whether such redemption would exceed the Redemption Limitation.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redemption of funds from the trust account occurred on December 27, 2022, approved by the stockholders on December 21, 2022, when the trustee, CST, transferred the whole amount of the trust to an intermediary account in the custody of trustee to be distributed to redeeming stockholders on December 28,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the Company had $785,038 in its operating bank account and a working capital deficit of $2,847,001. The Company intends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 In order to finance transaction costs in connection with a Business Combination, the Sponsor or an affiliated of the Sponsor, or certain of the Company’s officers and directors may, but are not obligated to, provide the Company Working Capital Loans (as defined below) (see Note 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Company’s assessment of going concern considerations in accordance with FASB ASU (“ASU”) 205-40, “Disclosure of Uncertainties about an Entity’s Ability to Continue as a Going Concern,” the Company has until the Expiration Date to consummate a Business Combination. It is uncertain that the Company will be able to consummate a Business Combination by this time. Additionally, the Company may not have sufficient liquidity to fund the working capital needs of the Company through one year from the issuance of these financial statements.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the Company’s ability to continue as a going concern. No adjustments have been made to the carrying amounts of assets or liabilities that might result from the outcome of this uncertainty. The Company intends to complete a proposed Business Combination before the mandatory liquidation date. However, there can be no assurance that the Company will be able to consummate any Business Combination by the Expiration Date. In addition, the Company may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the Company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the Expiration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are presented in U.S. dollars and have been prepared in accordance with accounting principles generally accepted in the United States of America (“U.S. GAAP”) and pursuant to the accounting and disclosure rules and regulations of the SEC.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liabilities. Such estimates may be subject to change as more current information becomes available and accordingly, the actual results could differ significantly from those estimates.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short-term investments with an original maturity of three months or less when purchased to be cash equivalents. The Company had $785,038 and $769,432 of cash as of December 31, 2022 and 2021, respectively, and no cash equivalents.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 and Cash Held in Trust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all of assets held in the Trust Account were held in cash. As of December 31, 2021, all of the assets held in the Trust Account were held in money market funds which are invested primarily in U.S. Treasury Securities. During the year ended December 31, 2022, the Company withdrew $1,034,596 of interest earned on investment held in the Trust Account to pay its tax obligations and $250,522,502 in Trust Account in connection with redemption. The Company presents its investments in money market funds on the balance sheets at fair value at the end of each reporting period. Gains and losses resulting from the change in fair value of these securities are included in interest income in the accompanying statements of operations. The estimated fair value of investments held in the Trust Account is determined using available market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Offering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costs consisted of legal, accounting and other expenses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allocated to warrant liabilities were expensed as incurred in the statements of operations. Offering costs associated with the Class A common stock issued were initially charged to temporary equity and then accreted to common stock subject to redemption upon the completion of the Initial Public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A Common Stock Subject to Possible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its Class A common stock subject to possible redemption in accordance with the guidance in ASC 480, “Distinguishing Liabilities from Equity.” Shares of Class A common stock subject to mandatory redemption are classified as a liability instrument and are measured at fair value. Conditionally redeemable Class A common stock (including Class A common stock that features redemption rights that are either within the control of the holder or subject to redemption upon the occurrence of uncertain events not solely within the Company’s control) is classified as temporary equity. At all other times, Class A common stock is classified as stockholders’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The Company’s Class A common stock features certain redemption rights that are considered to be outside of the Company’s control and subject to occurrence of uncertain future events. Accordingly, at December 31, 2022 and 2021, 458,716 and 25,300,000, respectively, shares of Class A common stock subject to possible redemption, respectively, are presented as temporary equity, outside of the stockholders’ deficit section of the Company’s balance sheets.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changes in redemption value immediately as they occur and adjusts the carrying value of redeemable common stock to equal the redemption value at the end of each reporting period. Immediately upon the closing of the Initial Public Offering, the Company recognized the accretion from initial book value to redemption amount value. The change in the carrying value of redeemable Class A common stock resulted in charges against additional paid-in capital and accumulated deficit.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21, 2022, stockholders elected to redeem an aggregate of 24,841,284 ($250,522,502 value) of shares of Class A common stock, representing approximately 98.2% of the issued and outstanding shares of Class A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December 31, 2022 and 2021, the Class A common stock reflected in the balance sheets is reconciled in the following table:</w:t>
      </w:r>
    </w:p>
    <w:tbl>
      <w:tblPr>
        <w:tblW w:w="10205" w:type="dxa"/>
        <w:jc w:val="left"/>
        <w:tblInd w:w="0" w:type="dxa"/>
        <w:tblLayout w:type="fixed"/>
        <w:tblCellMar>
          <w:top w:w="0" w:type="dxa"/>
          <w:left w:w="0" w:type="dxa"/>
          <w:bottom w:w="0" w:type="dxa"/>
          <w:right w:w="0" w:type="dxa"/>
        </w:tblCellMar>
      </w:tblPr>
      <w:tblGrid>
        <w:gridCol w:w="8121"/>
        <w:gridCol w:w="146"/>
        <w:gridCol w:w="241"/>
        <w:gridCol w:w="1471"/>
        <w:gridCol w:w="226"/>
      </w:tblGrid>
      <w:tr>
        <w:trPr/>
        <w:tc>
          <w:tcPr>
            <w:tcW w:w="8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proceeds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allocated to Public Warrants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(7,590,000</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 issuance costs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(13,934,844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carrying value to redemption value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21,524,844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common stock subject to possible redemption, December 31, 2021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253,000,000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carrying value to redemption value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2,310,479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of Class A common stock</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(250,522,502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common stock subject to possible redemption, December 31, 2022</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4,787,977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FASB ASC Topic 815, “Derivatives and Hedging” (“ASC 815”). The Company accounts for warrants in accordance with the guidance in ASC 480 and ASC 815 and determined that the warrants do not meet the criteria for equity treatment thereunder.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 Company recognizes the 8,433,333 Public Warrants and 4,706,667 Private Placement Warrants as liabilities at fair value and adjusts the instruments to fair value at each reporting period. The liabilities are subject to re-measurement at each balance sheet date until exercised, and any change in fair value is recognized in the Company’s statements of operations. The Public Warrants are valued by the closing price of the observable market quote in an active market. The Private Placement Warrants are valued using an observable market quote for a similar asset in an active market (See Notes 8 and 10).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2022 and 2021. The Company is currently not aware of any issues under review that could result in significant payments, accruals or material deviation from its position. The Company has been subject to income tax examinations by major taxing authorities since inception.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Income (Loss) per Common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accounting and disclosure requirements of FASB ASC Topic 260, “Earnings Per Share.” The Company has two classes of common stock, which are referred to as Class A common stock and Class B common stock. Income and losses are shared pro rata between the two classes of stock. Net income (loss) per common share is calculated by dividing the net income (loss) by the weighted average shares of common stock outstanding for the respective period. Accretion associated with the redeemable shares of Class A common stock is excluded from earnings per share as the redemption value approximates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 of diluted net income (loss) per share does not consider the effect of the warrants issued in connection with the (i) Initial Public Offering and (ii) the private placement since the exercise of the warrants is contingent upon the occurrence of future events. As of December 31, 2022 and 2021, the 13,140,000 potential shares of Class A common stock for outstanding Public Warrants and Private Placement Warrants to purchase the Company’s stock were excluded from diluted earnings per share for the periods ended December 31, 2022 and 2021 because they are contingently exercisable, and the contingencies have not yet been met. As a result, diluted net income (loss) per common stock is the same as basic net income (loss) per common stock for the period. The table below presents a reconciliation of the numerator and denominator used to compute basic and diluted net income (loss) per share for each class of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calculation of basic and diluted net income per share of common stock (in dollars, except per share amounts):</w:t>
      </w:r>
    </w:p>
    <w:tbl>
      <w:tblPr>
        <w:tblW w:w="10205" w:type="dxa"/>
        <w:jc w:val="left"/>
        <w:tblInd w:w="0" w:type="dxa"/>
        <w:tblLayout w:type="fixed"/>
        <w:tblCellMar>
          <w:top w:w="0" w:type="dxa"/>
          <w:left w:w="0" w:type="dxa"/>
          <w:bottom w:w="0" w:type="dxa"/>
          <w:right w:w="0" w:type="dxa"/>
        </w:tblCellMar>
      </w:tblPr>
      <w:tblGrid>
        <w:gridCol w:w="3716"/>
        <w:gridCol w:w="146"/>
        <w:gridCol w:w="241"/>
        <w:gridCol w:w="1186"/>
        <w:gridCol w:w="146"/>
        <w:gridCol w:w="241"/>
        <w:gridCol w:w="1066"/>
        <w:gridCol w:w="146"/>
        <w:gridCol w:w="241"/>
        <w:gridCol w:w="1186"/>
        <w:gridCol w:w="196"/>
        <w:gridCol w:w="146"/>
        <w:gridCol w:w="241"/>
        <w:gridCol w:w="1066"/>
        <w:gridCol w:w="241"/>
      </w:tblGrid>
      <w:tr>
        <w:trPr/>
        <w:tc>
          <w:tcPr>
            <w:tcW w:w="37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343" w:type="dxa"/>
            <w:gridSpan w:val="1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December 31,</w:t>
            </w:r>
          </w:p>
        </w:tc>
      </w:tr>
      <w:tr>
        <w:trPr/>
        <w:tc>
          <w:tcPr>
            <w:tcW w:w="37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8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331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7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c>
          <w:tcPr>
            <w:tcW w:w="146" w:type="dxa"/>
            <w:tcBorders/>
            <w:vAlign w:val="bottom"/>
          </w:tcPr>
          <w:p>
            <w:pPr>
              <w:pStyle w:val="TableContents"/>
              <w:bidi w:val="0"/>
              <w:spacing w:before="0" w:after="283"/>
              <w:jc w:val="left"/>
              <w:rPr/>
            </w:pPr>
            <w:r>
              <w:rPr/>
              <w:t> </w:t>
            </w:r>
          </w:p>
        </w:tc>
        <w:tc>
          <w:tcPr>
            <w:tcW w:w="162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r>
      <w:tr>
        <w:trPr/>
        <w:tc>
          <w:tcPr>
            <w:tcW w:w="3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Basic and diluted net income (loss) per share of common stock</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income (loss)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8,816,873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2,222,201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(1,674,526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(473,752</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716" w:type="dxa"/>
            <w:tcBorders/>
            <w:shd w:fill="CCEEFF" w:val="clear"/>
            <w:vAlign w:val="bottom"/>
          </w:tcPr>
          <w:p>
            <w:pPr>
              <w:pStyle w:val="TableContents"/>
              <w:bidi w:val="0"/>
              <w:spacing w:before="0" w:after="283"/>
              <w:jc w:val="left"/>
              <w:rPr/>
            </w:pPr>
            <w:r>
              <w:rPr/>
              <w:t>Basic and diluted weighted average shares outstanding</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25,095,264</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6,325,000</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21,972,877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6,216,507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16" w:type="dxa"/>
            <w:tcBorders/>
            <w:vAlign w:val="bottom"/>
          </w:tcPr>
          <w:p>
            <w:pPr>
              <w:pStyle w:val="TableContents"/>
              <w:bidi w:val="0"/>
              <w:spacing w:before="0" w:after="283"/>
              <w:jc w:val="left"/>
              <w:rPr>
                <w:b/>
                <w:i w:val="false"/>
                <w:caps w:val="false"/>
                <w:smallCaps w:val="false"/>
              </w:rPr>
            </w:pPr>
            <w:r>
              <w:rPr>
                <w:b/>
                <w:i w:val="false"/>
                <w:caps w:val="false"/>
                <w:smallCaps w:val="false"/>
              </w:rPr>
              <w:t>Basic and diluted net income (loss) per share of common stock</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0.35</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0.35</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 of 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subject the Company to concentrations of credit risk consist of cash accounts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assets and liabilities, which qualify as financial instruments under ASC Topic 820, “Fair Value Measurement,” approximates the carrying amounts represented in the accompanying balance sheets, primarily due to their short-term nature, other than the warrant liabilities (see Note 10).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defined as observable inputs such as quoted prices (unadjusted) for identical instruments in active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Derivative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sheets as current or non-current based on whether or not net-cash settlement or conversion of the instrument could be required within 12 months of the balance sheet date.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2020, the FASB issued ASU 2020-06, “Debt — Debt with Conversion and Other Options (Subtopic 470-20) and Derivatives and Hedging — 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The Company is currently assessing the impact, if any, that ASU 2020-06 would have on its financial position, results of operations or cash flows. The Company has not adopted this guidance as of December 31,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does not believe that any other recently issued, but not yet effective, accounting standards, if currently adopted, would have a material effect on the Company’s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Initial Public Offering, the Company sold 25,300,000 Units, which includes a full exercise by the underwriter of their overallotment option in the amount of 3,300,000 Units, at a price of $10.00 per Unit. Each Unit consists of one share of Class A common stock and one-third of one redeemable warrant (each, a “Public Warrant”). Each whole Public Warrant entitles the holder to purchase one share of Class A common stock at a price of $11.50 per share, subject to adjustment (see Note 10).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Sponsor has purchased an aggregate of 4,706,667 Private Placement Warrants at a price of $1.50 per Private Placement Warrant ($7,060,000 in the aggregate) from the Company in a private placement. Each whole Private Placement Warrant is exercisable to purchase one share of Class A common stock at a price of $11.50 per share, subject to adjustment (see Note 10). A portion of the proceeds from the sale of the Private Placement Warrants was added to the net proceeds from the Initial Public Offering held in the Trust Account. If the Company does not complete a Business Combination by the Expiration Date, the proceeds from the sale of the Private Placement Warrants held in the Trust Account will be used to fund the redemption of the Public Shares (subject to the requirements of applicable law) and the Private Placement Warrants will expire worthless.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RELATED PARTY TRANSACTIONS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period ended December 31, 2020, the Sponsor paid $25,000 to cover certain of the Company’s offering costs in exchange for 5,750,000 shares of the Company’s Class B common stock (the “Founder Shares”). On February 11, 2021, the Company effected a 1:1.1 stock split of its Class B common stock, resulting in an aggregate of 6,325,000 shares outstanding. All share and per-share amounts have been retroactively restated to reflect the stock split. The Founder Shares included an aggregate of up to 825,000 shares subject to forfeiture to the extent that the underwriters’ over-allotment was not exercised in full or in part, so that the number of Founder Shares would equal, on an as-converted basis, approximately 20% of the Company’s issued and outstanding common stock upon the consummation of the Initial Public Offering. As a result of the underwriter’s election to fully exercise its over-allotment option, no Founder Shares are currently subject to forfeiture.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reorganization or other similar transaction that results in all of the Public Stockholders having the right to exchange their shares of common stock for cash, securities or other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 Due to Sponsor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December 31, 2022 and 2021, the Company had advances owed to the Sponsor in the amount of $16,152 and $0,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Administrative Services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Commencing on February 11, 2021 through the earlier of the Company’s consummation of a Business Combination and its liquidation, the Company agreed to pay the Sponsor a total of $10,000 per month for office space, support and administrative services. For the years ended December 31, 2022 and 2021, the Company incurred $120,000 and $110,000 in fees for these services, respectively. At December 31, 2022 and 2021, $230,000 and $110,000 of administrative fees, respectively, were included in accrued expenses in the accompanying balance sheets,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fund working capital deficiencies or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will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of the post-Business Combination entity at a price of $1.50 per warrant. The warrants would be identical to the Private Placement Warrants. As of December 31, 2022 and 2021, there were no amounts outstanding under the Working Capital Loans.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COMMITMENTS AND CONTINGENCIES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Various social and political circumstances in the U.S. and around the world (including wars and other forms of conflict, including rising trade tensions between the United States and China, and other uncertainties regarding actual and potential shifts in the U.S.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U.S. and worldwide. Specifically, the rising conflict between Russia and Ukraine, and resulting market volatility could adversely affect the Company’s ability to complete a Business Combination. In response to the conflict between Russia and Ukraine, the U.S. and other counties have imposed sanctions or other restrictive actions against Russia. Any of the above factors, including sanctions, export controls, tariffs, trade wars and other governmental actions, could have a material adverse effect on the Company’s ability to complete a Business Combination and the value of the Company’s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Inflation Reduction Act of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16,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stockholders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a registration rights agreement entered into on February 11, 2021,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after conversion to shares of Class A common stock).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be required to effect or permit any registration or cause any registration statement to become effective until termination of the applicable lock-up period. The registration rights agreement does not contain liquidated damages or other cash settlement provisions resulting from delays in registering the Company’s securities. The Company will bear the expenses incurred in connection with the filing of any such registration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Underwriting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are entitled to a deferred fee of $0.35 per Unit, or $8,855,000 in the aggregate. The deferred fee will become payable to the underwriters from the amounts held in the Trust Account solely in the event that the Company completes a Business Combination, subject to the terms of the underwriting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of the Previously Announced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2022, the Company, GT Gettaxi Listco, GT Gettaxi Limited, GT Gettaxi SPV, GT Gettaxi Merger Sub 1, Gett Merger Sub, Inc., and Dooboo Holding Limited, and Merger Sub entered into a Termination of the Business Combination Agreement pursuant to which the parties mutually agreed to terminate the Business Combination Agreement, effective immediately. As per the Company’s Current Report on Form 8-K filed with the SEC on November 11, 2021, the Company requested that the target’s management undertake a thorough analysis of its financial projections. Following the conclusion of that process, and extensive mutual efforts to negotiate an appropriate valuation adjustment, both parties agreed to terminate the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termination of the Business Combination Agreement, the Business Combination Agreement is of no further force and effect, and certain transaction agreements entered into in connection with the Business Combination Agreement, including, but not limited to, the Investors’ Rights Agreement, dated as of November 9, 2021, and to be effective as of the closing of the Business Combination, by and among the Company, a Delaware limited liability company, and certain holders, will either be terminated or no longer be effective, as applicable, in accordance with their respective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continue to pursue the consummation of a Business Combination with an appropriate target.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STOCKHOLDERS’ DEFICIT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Preferred Stock —</w:t>
      </w:r>
      <w:r>
        <w:rPr>
          <w:rFonts w:ascii="Times New Roman PS Std;serif" w:hAnsi="Times New Roman PS Std;serif"/>
          <w:b w:val="false"/>
          <w:i w:val="false"/>
          <w:caps w:val="false"/>
          <w:smallCaps w:val="false"/>
          <w:sz w:val="20"/>
        </w:rPr>
        <w:t> The Company is authorized to issue 1,000,000 shares of preferred stock with a par value of $0.0001 per share with such designations, voting and other rights and preferences as may be determined from time to time by the Company’s board of directors. At December 31, 2022 and 2021, there were no shares of preferred stock issued and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A Common Stock —</w:t>
      </w:r>
      <w:r>
        <w:rPr>
          <w:rFonts w:ascii="Times New Roman PS Std;serif" w:hAnsi="Times New Roman PS Std;serif"/>
          <w:b w:val="false"/>
          <w:i w:val="false"/>
          <w:caps w:val="false"/>
          <w:smallCaps w:val="false"/>
          <w:sz w:val="20"/>
        </w:rPr>
        <w:t> The Company is authorized to issue 80,000,000 shares of Class A common stock with a par value of $0.0001 per share. Holders of Class A common stock are entitled to one vote for each share. At December 31, 2022 and 2021, there were 458,716 and 25,300,000 shares of Class A common stock, respectively, issued and outstanding, which are presented as temporary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B Common Stock —</w:t>
      </w:r>
      <w:r>
        <w:rPr>
          <w:rFonts w:ascii="Times New Roman PS Std;serif" w:hAnsi="Times New Roman PS Std;serif"/>
          <w:b w:val="false"/>
          <w:i w:val="false"/>
          <w:caps w:val="false"/>
          <w:smallCaps w:val="false"/>
          <w:sz w:val="20"/>
        </w:rPr>
        <w:t> The Company is authorized to issue 20,000,000 shares of Class B common stock with a par value of $0.0001 per share. Holders of Class B common stock are entitled to one vote for each share. At December 31, 2022 and 2021, there were 6,325,000 shares of Class B common stock issued and outstanding.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STOCKHOLDERS’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A common stock and holders of Class B common stock will vote together as a single class on all matters submitted to a vote of the Company’s stockholders, except as otherwise required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shares of Class B common stock will automatically convert into Class A common stock at the time of a Business Combination, or earlier at the option of the holder,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issued in the Initial Public Offering and related to the closing of a Business Combination, the ratio at which the shares of Class B common stock will convert into shares of Class A common stock will be adjusted (unless the holders of a majority of the issued and outstanding shares of Class B common stock agree to waive such anti-dilution adjustment with respect to any such issuance or deemed issuance) so that the number of shares of Class A common stock issuable upon conversion of all shares of Class B common stock will equal, in the aggregate, on an as-converted basis, 20% of the sum of all shares of common stock issued and outstanding upon the completion of the Initial Public Offering </w:t>
      </w:r>
      <w:r>
        <w:rPr>
          <w:rFonts w:ascii="Times New Roman PS Std;serif" w:hAnsi="Times New Roman PS Std;serif"/>
          <w:b w:val="false"/>
          <w:i/>
          <w:caps w:val="false"/>
          <w:smallCaps w:val="false"/>
          <w:sz w:val="20"/>
        </w:rPr>
        <w:t>plus</w:t>
      </w:r>
      <w:r>
        <w:rPr>
          <w:rFonts w:ascii="Times New Roman PS Std;serif" w:hAnsi="Times New Roman PS Std;serif"/>
          <w:b w:val="false"/>
          <w:i w:val="false"/>
          <w:caps w:val="false"/>
          <w:smallCaps w:val="false"/>
          <w:sz w:val="20"/>
        </w:rPr>
        <w:t xml:space="preserve"> all shares of Class A common stock and equity-linked securities issued or deemed issued in connection with the initial Business Combination, excluding any shares or equity-linked securities issued, or to be issued, to any seller in the initial Business Combination.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there were 8,433,333 Public Warrants outstanding. Public Warrants may only be exercised in whole and only for a whole number of shares.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stock underlying the warrants is then effective and a prospectus relating thereto is current, subject to the Company satisfying its obligations with respect to registration, or a valid exemption from registration is available.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agreed that as soon as practicable, but in no event later than 15 business days after the closing of a Business Combination, the Company will use its commercially reasonable efforts to file a registration statement covering the issuance, under the Securities Act, of the Class A common stock issuable upon exercise of the warrants, and the Company will use its commercially reasonable efforts to cause the same to become effective within 60 business days after the closing of a Business Combination and to maintain the effectiveness of such registration statement, and a current prospectus relating thereto, until the expiration of the warrants in accordance with the provisions of the warrant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above, if the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commercially reasonable efforts to register or qualify the shares under applicable blue sky laws to the extent an exemption is not available.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of Warrants When the Price per share of Class A common stock Equals or Exceeds $18.00</w:t>
      </w:r>
      <w:r>
        <w:rPr>
          <w:rFonts w:ascii="Times New Roman PS Std;serif" w:hAnsi="Times New Roman PS Std;serif"/>
          <w:b w:val="false"/>
          <w:i w:val="false"/>
          <w:caps w:val="false"/>
          <w:smallCaps w:val="false"/>
          <w:sz w:val="20"/>
        </w:rPr>
        <w:t> — Once the warrants become exercisable, the Company may redeem the warrants (except as described herein with respect to the Private Placement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warrant;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not less than 30 days’ prior written notice of redemption to each warrant holder;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last reported sale price of the Class A common stock for any 20 trading days within a 30-trading day period ending on the third trading day prior to the date on which the Company sends the notice of redemption to the warrant holders (the “Reference Value”) equals or exceeds $18.00 per share (as adjusted).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and when the warrants become redeemable by the Company, the Company may exercise its redemption right even if it is unable to register or qualify the underlying securities for sale under all applicable state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of Warrants When the Price per share of Class A common stock Equals or Exceeds $10.00</w:t>
      </w:r>
      <w:r>
        <w:rPr>
          <w:rFonts w:ascii="Times New Roman PS Std;serif" w:hAnsi="Times New Roman PS Std;serif"/>
          <w:b w:val="false"/>
          <w:i w:val="false"/>
          <w:caps w:val="false"/>
          <w:smallCaps w:val="false"/>
          <w:sz w:val="20"/>
        </w:rPr>
        <w:t> — Once the warrants become exercisable, the Company may redeem the outstanding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at $0.10 per warrant upon a minimum of 30 days’ prior written notice of redemption;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holders will be able to exercise their warrants on a cashless basis prior to redemption and receive that number of shares based on the redemption date and the fair market value of the shares of Class A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Reference Value equals or exceeds $10.00 per share (as adjusted);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Reference Value is less than $18.00 per share (as adjusted), the Private Placement Warrants must also be concurrently called for redemption on the same terms as the outstanding Public Warrants, as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and number of shares of Class A common stock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Class A common stock at a price below its exercise price. Additionally, in no event will the Company be required to net cash settle the Public Warrants. If the Company is unable to complete a Business Combination by the Expiration Date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if (x) the Company issues additional shares of Class A common stock or equity-linked securities for capital raising purposes in connection with the closing of its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Company’s initial Business Combination on the date of the consummation of such initial Business Combination (net of redemptions), and (z) the volume weighted average trading price of the Company’s common stock during the 20 trading day period starting on the trading day prior to the day on which the Company consummates its initial Business Combination (such price, the “Market Value”) is below $9.20 per share, the exercise price of the warrants will be adjusted (to the nearest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cent) to be equal to 115% of the higher of the Market Value and the Newly Issued Price, the $18.00 and $10.00 per share redemption trigger price described above will be adjusted (to the nearest cent) to be equal to 180% and 100%, respectively, of the higher of the Market Value and the Newly Issued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December 31, 2022 and 2021, there were 4,706,667 Private Placement Warrants outstanding. 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INCOME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net deferred tax assets are as follows as of December 31, 2022 and 2021:</w:t>
      </w:r>
    </w:p>
    <w:tbl>
      <w:tblPr>
        <w:tblW w:w="7274" w:type="dxa"/>
        <w:jc w:val="left"/>
        <w:tblInd w:w="0" w:type="dxa"/>
        <w:tblLayout w:type="fixed"/>
        <w:tblCellMar>
          <w:top w:w="0" w:type="dxa"/>
          <w:left w:w="0" w:type="dxa"/>
          <w:bottom w:w="0" w:type="dxa"/>
          <w:right w:w="0" w:type="dxa"/>
        </w:tblCellMar>
      </w:tblPr>
      <w:tblGrid>
        <w:gridCol w:w="4171"/>
        <w:gridCol w:w="146"/>
        <w:gridCol w:w="241"/>
        <w:gridCol w:w="961"/>
        <w:gridCol w:w="181"/>
        <w:gridCol w:w="146"/>
        <w:gridCol w:w="241"/>
        <w:gridCol w:w="961"/>
        <w:gridCol w:w="226"/>
      </w:tblGrid>
      <w:tr>
        <w:trPr/>
        <w:tc>
          <w:tcPr>
            <w:tcW w:w="41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5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br/>
              <w:t>December 31,</w:t>
            </w:r>
          </w:p>
        </w:tc>
      </w:tr>
      <w:tr>
        <w:trPr/>
        <w:tc>
          <w:tcPr>
            <w:tcW w:w="4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carryforward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41,741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Start up/organization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926,866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671,005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927,008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712,746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(927,008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(712,746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 net of allowance</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61" w:type="dxa"/>
            <w:tcBorders>
              <w:bottom w:val="double" w:sz="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61" w:type="dxa"/>
            <w:tcBorders>
              <w:bottom w:val="double" w:sz="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did not have any significant deferred tax assets or liabilities as of December 31, 2022 and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tax provision consists of the following for the years ended December 31, 2022 and 2021:</w:t>
      </w:r>
    </w:p>
    <w:tbl>
      <w:tblPr>
        <w:tblW w:w="6254" w:type="dxa"/>
        <w:jc w:val="left"/>
        <w:tblInd w:w="0" w:type="dxa"/>
        <w:tblLayout w:type="fixed"/>
        <w:tblCellMar>
          <w:top w:w="0" w:type="dxa"/>
          <w:left w:w="0" w:type="dxa"/>
          <w:bottom w:w="0" w:type="dxa"/>
          <w:right w:w="0" w:type="dxa"/>
        </w:tblCellMar>
      </w:tblPr>
      <w:tblGrid>
        <w:gridCol w:w="3121"/>
        <w:gridCol w:w="146"/>
        <w:gridCol w:w="241"/>
        <w:gridCol w:w="991"/>
        <w:gridCol w:w="181"/>
        <w:gridCol w:w="146"/>
        <w:gridCol w:w="241"/>
        <w:gridCol w:w="961"/>
        <w:gridCol w:w="226"/>
      </w:tblGrid>
      <w:tr>
        <w:trPr/>
        <w:tc>
          <w:tcPr>
            <w:tcW w:w="31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br/>
              <w:t>December 31,</w:t>
            </w:r>
          </w:p>
        </w:tc>
      </w:tr>
      <w:tr>
        <w:trPr/>
        <w:tc>
          <w:tcPr>
            <w:tcW w:w="3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benefit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614,297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benefit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(214,262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(712,604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214,262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712,604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 provision</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614,297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Company had $675 and $198,091, respectively, of U.S. federal and state net operating loss carryovers available to offset future taxable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years ended December 31, 2022 and 2021, the change in the valuation allowance was $214,262 and $712,604,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INCOME TAX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federal income tax rate to the Company’s effective tax rate at December 31, 2022 and 2021 is as follows:</w:t>
      </w:r>
    </w:p>
    <w:tbl>
      <w:tblPr>
        <w:tblW w:w="6222" w:type="dxa"/>
        <w:jc w:val="left"/>
        <w:tblInd w:w="0" w:type="dxa"/>
        <w:tblLayout w:type="fixed"/>
        <w:tblCellMar>
          <w:top w:w="0" w:type="dxa"/>
          <w:left w:w="0" w:type="dxa"/>
          <w:bottom w:w="0" w:type="dxa"/>
          <w:right w:w="0" w:type="dxa"/>
        </w:tblCellMar>
      </w:tblPr>
      <w:tblGrid>
        <w:gridCol w:w="3961"/>
        <w:gridCol w:w="146"/>
        <w:gridCol w:w="601"/>
        <w:gridCol w:w="361"/>
        <w:gridCol w:w="146"/>
        <w:gridCol w:w="601"/>
        <w:gridCol w:w="406"/>
      </w:tblGrid>
      <w:tr>
        <w:trPr/>
        <w:tc>
          <w:tcPr>
            <w:tcW w:w="39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p>
        </w:tc>
      </w:tr>
      <w:tr>
        <w:trPr/>
        <w:tc>
          <w:tcPr>
            <w:tcW w:w="3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Statutory federal income tax rate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taxes, net of federal tax benefit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 change in rate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allocated to warrants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rate</w:t>
            </w:r>
          </w:p>
        </w:tc>
        <w:tc>
          <w:tcPr>
            <w:tcW w:w="146" w:type="dxa"/>
            <w:tcBorders/>
            <w:shd w:fill="CCEEFF" w:val="clear"/>
            <w:vAlign w:val="bottom"/>
          </w:tcPr>
          <w:p>
            <w:pPr>
              <w:pStyle w:val="TableContents"/>
              <w:bidi w:val="0"/>
              <w:spacing w:before="0" w:after="283"/>
              <w:jc w:val="left"/>
              <w:rPr/>
            </w:pPr>
            <w:r>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files income tax returns in the U.S. federal jurisdiction in various state and local jurisdictions and is subject to examination by the various taxing authorities.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fair value hierarchy (see Note 2) is used to classify assets and liabilities based on the observable inputs and unobservable inputs used in order to value the assets and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December 31, 2022 and 2021, assets held in the Trust Account were comprised of $4,626,107 in cash and $253,027,240 money market funds that primarily invested in U.S. Treasury Securities at fair market value, respectively. During the years ended December 31, 2022 and 2021, the Company withdrew $1,034,596 and $0 of interest to pay its tax obligations, respectively. Total holdings in cash as of December 31, 2022 is $4,626,107 during the year ended December 31,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present information about the Company’s assets and liabilities that are measured at fair value on a recurring basis at December 31, 2022 and 2021 and indicate the fair value hierarchy of the valuation inputs the Company utilized to determine such fair value:</w:t>
      </w:r>
    </w:p>
    <w:tbl>
      <w:tblPr>
        <w:tblW w:w="10205" w:type="dxa"/>
        <w:jc w:val="left"/>
        <w:tblInd w:w="0" w:type="dxa"/>
        <w:tblLayout w:type="fixed"/>
        <w:tblCellMar>
          <w:top w:w="0" w:type="dxa"/>
          <w:left w:w="0" w:type="dxa"/>
          <w:bottom w:w="0" w:type="dxa"/>
          <w:right w:w="0" w:type="dxa"/>
        </w:tblCellMar>
      </w:tblPr>
      <w:tblGrid>
        <w:gridCol w:w="5236"/>
        <w:gridCol w:w="146"/>
        <w:gridCol w:w="646"/>
        <w:gridCol w:w="146"/>
        <w:gridCol w:w="598"/>
        <w:gridCol w:w="918"/>
        <w:gridCol w:w="146"/>
        <w:gridCol w:w="646"/>
        <w:gridCol w:w="146"/>
        <w:gridCol w:w="226"/>
        <w:gridCol w:w="1351"/>
      </w:tblGrid>
      <w:tr>
        <w:trPr/>
        <w:tc>
          <w:tcPr>
            <w:tcW w:w="52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w:t>
            </w:r>
          </w:p>
        </w:tc>
        <w:tc>
          <w:tcPr>
            <w:tcW w:w="146" w:type="dxa"/>
            <w:tcBorders/>
            <w:vAlign w:val="bottom"/>
          </w:tcPr>
          <w:p>
            <w:pPr>
              <w:pStyle w:val="TableContents"/>
              <w:bidi w:val="0"/>
              <w:spacing w:before="0" w:after="283"/>
              <w:jc w:val="left"/>
              <w:rPr/>
            </w:pPr>
            <w:r>
              <w:rPr/>
              <w:t> </w:t>
            </w:r>
          </w:p>
        </w:tc>
        <w:tc>
          <w:tcPr>
            <w:tcW w:w="15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2022</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2021</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r>
      <w:tr>
        <w:trPr/>
        <w:tc>
          <w:tcPr>
            <w:tcW w:w="52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 – Money Market Funds primarily invested in U.S. Treasury Securities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59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8" w:type="dxa"/>
            <w:tcBorders/>
            <w:vAlign w:val="bottom"/>
          </w:tcPr>
          <w:p>
            <w:pPr>
              <w:pStyle w:val="TableContents"/>
              <w:bidi w:val="0"/>
              <w:spacing w:before="0" w:after="283"/>
              <w:jc w:val="left"/>
              <w:rPr/>
            </w:pPr>
            <w:r>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253,027,240</w:t>
            </w:r>
          </w:p>
        </w:tc>
      </w:tr>
    </w:tbl>
    <w:tbl>
      <w:tblPr>
        <w:tblW w:w="9709" w:type="dxa"/>
        <w:jc w:val="left"/>
        <w:tblInd w:w="0" w:type="dxa"/>
        <w:tblLayout w:type="fixed"/>
        <w:tblCellMar>
          <w:top w:w="0" w:type="dxa"/>
          <w:left w:w="0" w:type="dxa"/>
          <w:bottom w:w="0" w:type="dxa"/>
          <w:right w:w="0" w:type="dxa"/>
        </w:tblCellMar>
      </w:tblPr>
      <w:tblGrid>
        <w:gridCol w:w="4756"/>
        <w:gridCol w:w="146"/>
        <w:gridCol w:w="646"/>
        <w:gridCol w:w="146"/>
        <w:gridCol w:w="308"/>
        <w:gridCol w:w="1208"/>
        <w:gridCol w:w="146"/>
        <w:gridCol w:w="646"/>
        <w:gridCol w:w="146"/>
        <w:gridCol w:w="263"/>
        <w:gridCol w:w="1298"/>
      </w:tblGrid>
      <w:tr>
        <w:trPr/>
        <w:tc>
          <w:tcPr>
            <w:tcW w:w="47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w:t>
            </w:r>
          </w:p>
        </w:tc>
        <w:tc>
          <w:tcPr>
            <w:tcW w:w="146" w:type="dxa"/>
            <w:tcBorders/>
            <w:vAlign w:val="bottom"/>
          </w:tcPr>
          <w:p>
            <w:pPr>
              <w:pStyle w:val="TableContents"/>
              <w:bidi w:val="0"/>
              <w:spacing w:before="0" w:after="283"/>
              <w:jc w:val="left"/>
              <w:rPr/>
            </w:pPr>
            <w:r>
              <w:rPr/>
              <w:t> </w:t>
            </w:r>
          </w:p>
        </w:tc>
        <w:tc>
          <w:tcPr>
            <w:tcW w:w="15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2022</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w:t>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2021</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8" w:type="dxa"/>
            <w:tcBorders/>
            <w:shd w:fill="CCEEFF" w:val="clear"/>
            <w:vAlign w:val="bottom"/>
          </w:tcPr>
          <w:p>
            <w:pPr>
              <w:pStyle w:val="TableContents"/>
              <w:bidi w:val="0"/>
              <w:spacing w:before="0" w:after="283"/>
              <w:jc w:val="left"/>
              <w:rPr/>
            </w:pPr>
            <w:r>
              <w:rPr/>
              <w:t> </w:t>
            </w:r>
          </w:p>
        </w:tc>
      </w:tr>
      <w:tr>
        <w:trPr/>
        <w:tc>
          <w:tcPr>
            <w:tcW w:w="47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 – Public Warrants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6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6,493,666</w:t>
            </w:r>
          </w:p>
        </w:tc>
      </w:tr>
      <w:tr>
        <w:trPr/>
        <w:tc>
          <w:tcPr>
            <w:tcW w:w="47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 – Private Placement Warrants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141,200</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3,648,976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were accounted for as liabilities in accordance with ASC 815-40 and are presented within warrant liabilities on the Company’s accompanying December 31, 2022 and 2021 balance sheets. The warrant liabilities are measured at fair value at inception and on a recurring basis, with changes in fair value presented within change in fair value of warrants in the statements of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ROSECLIFF ACQUISITION CORP I</w:t>
        <w:br/>
        <w:t>NOTES TO FINANCIAL STATEMENTS</w:t>
        <w:br/>
        <w:t>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initially valued its Private Placement Warrants, on February 17, 2021, as Level 3 utilizing a lattice model, specifically a binomial lattice model incorporating the Cox-Ross-Rubenstein methodology and subsequently valued the Private Placement Warrants as Level 2 through December 31, 2021, with changes in fair value recognized in the statements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of the Private Placement Warrant liabilities was determined using Level 2 inputs on December 31, 2022 and 2021. As of December 31, 2022, the Public Warrants were classified as Level 2 in the fair value hierarchy due to low trading volume. The estimated fair value of the Public Warrants transferred from a Level 1 measurement to a Level 2 measurement during the year ended December 31, 2022 was $506,000. On December 31, 2021 the Private Placement Warrants transferred to Level 2 due to the use of an observable market quote for a similar asset in an active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to/from Levels 1, 2 and 3 are recognized at the end of the reporting period in which a change in valuation technique or methodology occurs. The estimated fair value of the Public Warrants previously transferred from a Level 3 measurement to a Level 1 fair value measurement for the year ended December 31, 2021 was $6,831,000. The estimated fair value of the Private Placement Warrants transferred from a Level 3 measurement to a Level 2 fair value measurement for the year ended December 31, 2021 was $2,588,667. There was no transfer during the year ended December 31,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and transactions that occurred after the balance sheet date up to the date that the financial statements were issued. Based upon this review, other than described below, the Company did not identify any subsequent events that would have required adjustment or disclosure in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22, 2023, the Company received the Notice from the Staff of Nasdaq indicating that the Company is not in compliance with Listing Rule 5550(a)(4), due to the Company’s failure to meet the minimum 500,000 publicly held shares requirement for the Nasdaq Capital Market. The Notice is only a notification of deficiency, not of imminent delisting. On March 9, 2023, per the Notice, the Company submitted a plan of compliance to achieve and sustain compliance with all Nasdaq Capital Market listing requirements. If Nasdaq does not accept the Company’s plan, the Company will have the opportunity to appeal the decision in front of a Nasdaq Hearings Panel.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and Board of Directors</w:t>
        <w:br/>
        <w:t>Spectral MD Holdings, Ltd.: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Opinion on the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Spectral MD Holdings, Ltd. and its subsidiaries (the Company) as of December 31, 2022 and 2021, the related consolidated statements of operations, changes in equity, and cash flows for each of the years in the two-year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two-year period ended December 31, 2022, in conformity with U.S. generally accepted accounting principles.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Accounting Principle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2 to the consolidated financial statements, the Company has changed its method of accounting for leasing transactions as of January 1, 2022 due to the adoption of Accounting Standards Codification 842, Leases.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keepNext w:val="false"/>
        <w:pageBreakBefore w:val="false"/>
        <w:widowControl/>
        <w:pBdr/>
        <w:bidi w:val="0"/>
        <w:spacing w:before="160" w:after="283"/>
        <w:ind w:left="0" w:right="0" w:hanging="0"/>
        <w:jc w:val="both"/>
        <w:rPr>
          <w:caps w:val="false"/>
          <w:smallCaps w:val="false"/>
        </w:rPr>
      </w:pPr>
      <w:r>
        <w:rPr>
          <w:caps w:val="false"/>
          <w:smallCaps w:val="false"/>
        </w:rPr>
        <w:drawing>
          <wp:inline distT="0" distB="0" distL="0" distR="0">
            <wp:extent cx="1600200" cy="3448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00200" cy="344805"/>
                    </a:xfrm>
                    <a:prstGeom prst="rect">
                      <a:avLst/>
                    </a:prstGeom>
                  </pic:spPr>
                </pic:pic>
              </a:graphicData>
            </a:graphic>
          </wp:inline>
        </w:drawing>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2021.</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Dallas, Texas </w:t>
        <w:br/>
        <w:t>February 24,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1006"/>
      <w:bookmarkEnd w:id="34"/>
      <w:r>
        <w:rPr>
          <w:rFonts w:ascii="Times New Roman PS Std;serif" w:hAnsi="Times New Roman PS Std;serif"/>
          <w:b/>
          <w:i w:val="false"/>
          <w:caps w:val="false"/>
          <w:smallCaps w:val="false"/>
          <w:sz w:val="20"/>
        </w:rPr>
        <w:t>Spectral MD Holdings, Ltd.</w:t>
        <w:br/>
        <w:t>Consolidated Balance Sheets</w:t>
        <w:br/>
        <w:t>For the years ended December 31, 2022, and 2021</w:t>
        <w:br/>
        <w:t>(in thousands, except share and per share data)</w:t>
      </w:r>
    </w:p>
    <w:tbl>
      <w:tblPr>
        <w:tblW w:w="10205" w:type="dxa"/>
        <w:jc w:val="left"/>
        <w:tblInd w:w="0" w:type="dxa"/>
        <w:tblLayout w:type="fixed"/>
        <w:tblCellMar>
          <w:top w:w="0" w:type="dxa"/>
          <w:left w:w="0" w:type="dxa"/>
          <w:bottom w:w="0" w:type="dxa"/>
          <w:right w:w="0" w:type="dxa"/>
        </w:tblCellMar>
      </w:tblPr>
      <w:tblGrid>
        <w:gridCol w:w="7899"/>
        <w:gridCol w:w="146"/>
        <w:gridCol w:w="841"/>
        <w:gridCol w:w="181"/>
        <w:gridCol w:w="146"/>
        <w:gridCol w:w="766"/>
        <w:gridCol w:w="226"/>
      </w:tblGrid>
      <w:tr>
        <w:trPr/>
        <w:tc>
          <w:tcPr>
            <w:tcW w:w="789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2022 </w:t>
              <w:br/>
              <w:t>US$</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2021 </w:t>
              <w:br/>
              <w:t>US$</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14,174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Unbilled revenue</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18,467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assets:</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18,716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equity</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short-term</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long-term</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8)</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8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Equity</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(US$0.001 par value); 400,000,000 shares authorized; 135,409,564 and 135,034,564 shares issued and outstanding as of December 31, 2022 and 2021, respectively</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23,795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22,640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11,996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18,716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hanging="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accompanying notes to the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1007"/>
      <w:bookmarkEnd w:id="35"/>
      <w:r>
        <w:rPr>
          <w:rFonts w:ascii="Times New Roman PS Std;serif" w:hAnsi="Times New Roman PS Std;serif"/>
          <w:b/>
          <w:i w:val="false"/>
          <w:caps w:val="false"/>
          <w:smallCaps w:val="false"/>
          <w:sz w:val="20"/>
        </w:rPr>
        <w:t>Spectral MD Holdings, Ltd.</w:t>
        <w:br/>
        <w:t>Consolidated Statement of Operations</w:t>
        <w:br/>
        <w:t>For the years ended December 31, 2022, and 2021</w:t>
        <w:br/>
        <w:t>(in thousands, except share and per share data)</w:t>
      </w:r>
    </w:p>
    <w:tbl>
      <w:tblPr>
        <w:tblW w:w="9822" w:type="dxa"/>
        <w:jc w:val="left"/>
        <w:tblInd w:w="0" w:type="dxa"/>
        <w:tblLayout w:type="fixed"/>
        <w:tblCellMar>
          <w:top w:w="0" w:type="dxa"/>
          <w:left w:w="0" w:type="dxa"/>
          <w:bottom w:w="0" w:type="dxa"/>
          <w:right w:w="0" w:type="dxa"/>
        </w:tblCellMar>
      </w:tblPr>
      <w:tblGrid>
        <w:gridCol w:w="6511"/>
        <w:gridCol w:w="146"/>
        <w:gridCol w:w="1306"/>
        <w:gridCol w:w="181"/>
        <w:gridCol w:w="146"/>
        <w:gridCol w:w="1306"/>
        <w:gridCol w:w="226"/>
      </w:tblGrid>
      <w:tr>
        <w:trPr/>
        <w:tc>
          <w:tcPr>
            <w:tcW w:w="65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2022 </w:t>
              <w:br/>
              <w:t>US$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2021 </w:t>
              <w:br/>
              <w:t>US$</w:t>
            </w:r>
          </w:p>
        </w:tc>
      </w:tr>
      <w:tr>
        <w:trPr/>
        <w:tc>
          <w:tcPr>
            <w:tcW w:w="6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revenue</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25,368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10,837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costs and expenses: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13,484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costs and expenses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13,484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income (loss)</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transaction loss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income before income taxes</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 (provision) for income taxes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income</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on Series A preferred stock</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income per share of common stock Basic and Diluted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common shares outstanding Basic and Diluted</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135,442,441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100,291,815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accompanying notes to the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1008"/>
      <w:bookmarkEnd w:id="36"/>
      <w:r>
        <w:rPr>
          <w:rFonts w:ascii="Times New Roman PS Std;serif" w:hAnsi="Times New Roman PS Std;serif"/>
          <w:b/>
          <w:i w:val="false"/>
          <w:caps w:val="false"/>
          <w:smallCaps w:val="false"/>
          <w:sz w:val="20"/>
        </w:rPr>
        <w:t>Spectral MD Holdings, Ltd.</w:t>
        <w:br/>
        <w:t>Consolidated Statements of Changes in Equity</w:t>
        <w:br/>
        <w:t>For the years ended December 31, 2022, and 2021</w:t>
        <w:br/>
        <w:t>(In thousands, except share data)</w:t>
      </w:r>
    </w:p>
    <w:tbl>
      <w:tblPr>
        <w:tblW w:w="11166" w:type="dxa"/>
        <w:jc w:val="left"/>
        <w:tblInd w:w="0" w:type="dxa"/>
        <w:tblLayout w:type="fixed"/>
        <w:tblCellMar>
          <w:top w:w="0" w:type="dxa"/>
          <w:left w:w="0" w:type="dxa"/>
          <w:bottom w:w="0" w:type="dxa"/>
          <w:right w:w="0" w:type="dxa"/>
        </w:tblCellMar>
      </w:tblPr>
      <w:tblGrid>
        <w:gridCol w:w="1526"/>
        <w:gridCol w:w="146"/>
        <w:gridCol w:w="1141"/>
        <w:gridCol w:w="181"/>
        <w:gridCol w:w="146"/>
        <w:gridCol w:w="732"/>
        <w:gridCol w:w="184"/>
        <w:gridCol w:w="146"/>
        <w:gridCol w:w="1306"/>
        <w:gridCol w:w="146"/>
        <w:gridCol w:w="916"/>
        <w:gridCol w:w="146"/>
        <w:gridCol w:w="935"/>
        <w:gridCol w:w="221"/>
        <w:gridCol w:w="146"/>
        <w:gridCol w:w="1185"/>
        <w:gridCol w:w="256"/>
        <w:gridCol w:w="146"/>
        <w:gridCol w:w="1205"/>
        <w:gridCol w:w="356"/>
      </w:tblGrid>
      <w:tr>
        <w:trPr/>
        <w:tc>
          <w:tcPr>
            <w:tcW w:w="1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8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Preferred Stock</w:t>
            </w:r>
          </w:p>
        </w:tc>
        <w:tc>
          <w:tcPr>
            <w:tcW w:w="146" w:type="dxa"/>
            <w:tcBorders/>
            <w:vAlign w:val="bottom"/>
          </w:tcPr>
          <w:p>
            <w:pPr>
              <w:pStyle w:val="TableContents"/>
              <w:bidi w:val="0"/>
              <w:spacing w:before="0" w:after="283"/>
              <w:jc w:val="left"/>
              <w:rPr/>
            </w:pPr>
            <w:r>
              <w:rPr/>
              <w:t> </w:t>
            </w:r>
          </w:p>
        </w:tc>
        <w:tc>
          <w:tcPr>
            <w:tcW w:w="236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p>
        </w:tc>
        <w:tc>
          <w:tcPr>
            <w:tcW w:w="146" w:type="dxa"/>
            <w:tcBorders/>
            <w:vAlign w:val="bottom"/>
          </w:tcPr>
          <w:p>
            <w:pPr>
              <w:pStyle w:val="TableContents"/>
              <w:bidi w:val="0"/>
              <w:spacing w:before="0" w:after="283"/>
              <w:jc w:val="left"/>
              <w:rPr/>
            </w:pPr>
            <w:r>
              <w:rPr/>
              <w:t> </w:t>
            </w:r>
          </w:p>
        </w:tc>
        <w:tc>
          <w:tcPr>
            <w:tcW w:w="115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 xml:space="preserve">Capital </w:t>
              <w:br/>
              <w:t>US$</w:t>
            </w:r>
          </w:p>
        </w:tc>
        <w:tc>
          <w:tcPr>
            <w:tcW w:w="146" w:type="dxa"/>
            <w:vMerge w:val="restart"/>
            <w:tcBorders/>
            <w:vAlign w:val="bottom"/>
          </w:tcPr>
          <w:p>
            <w:pPr>
              <w:pStyle w:val="TableContents"/>
              <w:bidi w:val="0"/>
              <w:spacing w:before="0" w:after="283"/>
              <w:jc w:val="left"/>
              <w:rPr/>
            </w:pPr>
            <w:r>
              <w:rPr/>
              <w:t> </w:t>
            </w:r>
          </w:p>
        </w:tc>
        <w:tc>
          <w:tcPr>
            <w:tcW w:w="144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 xml:space="preserve">Deficit </w:t>
              <w:br/>
              <w:t>US$</w:t>
            </w:r>
          </w:p>
        </w:tc>
        <w:tc>
          <w:tcPr>
            <w:tcW w:w="146" w:type="dxa"/>
            <w:vMerge w:val="restart"/>
            <w:tcBorders/>
            <w:vAlign w:val="bottom"/>
          </w:tcPr>
          <w:p>
            <w:pPr>
              <w:pStyle w:val="TableContents"/>
              <w:bidi w:val="0"/>
              <w:spacing w:before="0" w:after="283"/>
              <w:jc w:val="left"/>
              <w:rPr/>
            </w:pPr>
            <w:r>
              <w:rPr/>
              <w:t> </w:t>
            </w:r>
          </w:p>
        </w:tc>
        <w:tc>
          <w:tcPr>
            <w:tcW w:w="156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Stockholders’ </w:t>
              <w:br/>
              <w:t xml:space="preserve">Equity </w:t>
              <w:br/>
              <w:t>US$</w:t>
            </w:r>
          </w:p>
        </w:tc>
      </w:tr>
      <w:tr>
        <w:trPr/>
        <w:tc>
          <w:tcPr>
            <w:tcW w:w="1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 </w:t>
              <w:br/>
              <w:t>US$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 </w:t>
              <w:br/>
              <w:t>US$</w:t>
            </w:r>
          </w:p>
        </w:tc>
        <w:tc>
          <w:tcPr>
            <w:tcW w:w="146" w:type="dxa"/>
            <w:tcBorders/>
            <w:vAlign w:val="bottom"/>
          </w:tcPr>
          <w:p>
            <w:pPr>
              <w:pStyle w:val="TableContents"/>
              <w:bidi w:val="0"/>
              <w:spacing w:before="0" w:after="283"/>
              <w:jc w:val="left"/>
              <w:rPr/>
            </w:pPr>
            <w:r>
              <w:rPr/>
              <w:t> </w:t>
            </w:r>
          </w:p>
        </w:tc>
        <w:tc>
          <w:tcPr>
            <w:tcW w:w="115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61" w:type="dxa"/>
            <w:gridSpan w:val="2"/>
            <w:vMerge w:val="continue"/>
            <w:tcBorders/>
            <w:vAlign w:val="bottom"/>
          </w:tcPr>
          <w:p>
            <w:pPr>
              <w:pStyle w:val="Normal"/>
              <w:bidi w:val="0"/>
              <w:jc w:val="left"/>
              <w:rPr/>
            </w:pPr>
            <w:r>
              <w:rPr/>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2020</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4,324,330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w:t>
            </w:r>
          </w:p>
        </w:tc>
        <w:tc>
          <w:tcPr>
            <w:tcW w:w="1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61,347,000</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6,096</w:t>
            </w:r>
          </w:p>
        </w:tc>
        <w:tc>
          <w:tcPr>
            <w:tcW w:w="2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(5,034</w:t>
            </w:r>
          </w:p>
        </w:tc>
        <w:tc>
          <w:tcPr>
            <w:tcW w:w="2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w:t>
            </w:r>
          </w:p>
        </w:tc>
        <w:tc>
          <w:tcPr>
            <w:tcW w:w="3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common stock for cash</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left"/>
              <w:rPr/>
            </w:pPr>
            <w:r>
              <w:rPr/>
              <w:t> </w:t>
            </w:r>
          </w:p>
        </w:tc>
        <w:tc>
          <w:tcPr>
            <w:tcW w:w="18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19,067,797</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9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15,595</w:t>
            </w:r>
          </w:p>
        </w:tc>
        <w:tc>
          <w:tcPr>
            <w:tcW w:w="2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15,614</w:t>
            </w:r>
          </w:p>
        </w:tc>
        <w:tc>
          <w:tcPr>
            <w:tcW w:w="3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 net of $0.5 million warrant liability</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(1,479</w:t>
            </w:r>
          </w:p>
        </w:tc>
        <w:tc>
          <w:tcPr>
            <w:tcW w:w="2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(1,479</w:t>
            </w:r>
          </w:p>
        </w:tc>
        <w:tc>
          <w:tcPr>
            <w:tcW w:w="3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Cumulative dividend on Series A preferred stock</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w:t>
            </w:r>
          </w:p>
        </w:tc>
        <w:tc>
          <w:tcPr>
            <w:tcW w:w="1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w:t>
            </w:r>
          </w:p>
        </w:tc>
        <w:tc>
          <w:tcPr>
            <w:tcW w:w="22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w:t>
            </w:r>
          </w:p>
        </w:tc>
        <w:tc>
          <w:tcPr>
            <w:tcW w:w="35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preferred stock to common cash</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(4,324,330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(2,373</w:t>
            </w:r>
          </w:p>
        </w:tc>
        <w:tc>
          <w:tcPr>
            <w:tcW w:w="1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53,889,765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2,319</w:t>
            </w:r>
          </w:p>
        </w:tc>
        <w:tc>
          <w:tcPr>
            <w:tcW w:w="2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2,373</w:t>
            </w:r>
          </w:p>
        </w:tc>
        <w:tc>
          <w:tcPr>
            <w:tcW w:w="3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 exercised for cash</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42,500</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687,502</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1,364</w:t>
            </w:r>
          </w:p>
        </w:tc>
        <w:tc>
          <w:tcPr>
            <w:tcW w:w="2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w:t>
            </w:r>
          </w:p>
        </w:tc>
        <w:tc>
          <w:tcPr>
            <w:tcW w:w="3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(3,988</w:t>
            </w:r>
          </w:p>
        </w:tc>
        <w:tc>
          <w:tcPr>
            <w:tcW w:w="25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(3,988</w:t>
            </w:r>
          </w:p>
        </w:tc>
        <w:tc>
          <w:tcPr>
            <w:tcW w:w="35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2021</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135,034,564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146"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22,640</w:t>
            </w:r>
          </w:p>
        </w:tc>
        <w:tc>
          <w:tcPr>
            <w:tcW w:w="2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(9,022</w:t>
            </w:r>
          </w:p>
        </w:tc>
        <w:tc>
          <w:tcPr>
            <w:tcW w:w="2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13,753</w:t>
            </w:r>
          </w:p>
        </w:tc>
        <w:tc>
          <w:tcPr>
            <w:tcW w:w="3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w:t>
            </w:r>
          </w:p>
        </w:tc>
        <w:tc>
          <w:tcPr>
            <w:tcW w:w="2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w:t>
            </w:r>
          </w:p>
        </w:tc>
        <w:tc>
          <w:tcPr>
            <w:tcW w:w="3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w:t>
            </w:r>
          </w:p>
        </w:tc>
        <w:tc>
          <w:tcPr>
            <w:tcW w:w="2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w:t>
            </w:r>
          </w:p>
        </w:tc>
        <w:tc>
          <w:tcPr>
            <w:tcW w:w="3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2022</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135,409,564</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146" w:type="dxa"/>
            <w:tcBorders/>
            <w:vAlign w:val="bottom"/>
          </w:tcPr>
          <w:p>
            <w:pPr>
              <w:pStyle w:val="TableContents"/>
              <w:bidi w:val="0"/>
              <w:spacing w:before="0" w:after="283"/>
              <w:jc w:val="left"/>
              <w:rPr/>
            </w:pPr>
            <w:r>
              <w:rPr/>
              <w:t> </w:t>
            </w:r>
          </w:p>
        </w:tc>
        <w:tc>
          <w:tcPr>
            <w:tcW w:w="9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23,795</w:t>
            </w:r>
          </w:p>
        </w:tc>
        <w:tc>
          <w:tcPr>
            <w:tcW w:w="2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(11,934</w:t>
            </w:r>
          </w:p>
        </w:tc>
        <w:tc>
          <w:tcPr>
            <w:tcW w:w="25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11,996</w:t>
            </w:r>
          </w:p>
        </w:tc>
        <w:tc>
          <w:tcPr>
            <w:tcW w:w="3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accompanying notes to the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1009"/>
      <w:bookmarkEnd w:id="37"/>
      <w:r>
        <w:rPr>
          <w:rFonts w:ascii="Times New Roman PS Std;serif" w:hAnsi="Times New Roman PS Std;serif"/>
          <w:b/>
          <w:i w:val="false"/>
          <w:caps w:val="false"/>
          <w:smallCaps w:val="false"/>
          <w:sz w:val="20"/>
        </w:rPr>
        <w:t>Spectral MD Holdings, Ltd.</w:t>
        <w:br/>
        <w:t>Consolidated Statements of Cash Flows</w:t>
        <w:br/>
        <w:t>For the years ended December 31, 2022, and 2021</w:t>
        <w:br/>
        <w:t>(in thousands)</w:t>
      </w:r>
    </w:p>
    <w:tbl>
      <w:tblPr>
        <w:tblW w:w="10205" w:type="dxa"/>
        <w:jc w:val="left"/>
        <w:tblInd w:w="0" w:type="dxa"/>
        <w:tblLayout w:type="fixed"/>
        <w:tblCellMar>
          <w:top w:w="0" w:type="dxa"/>
          <w:left w:w="0" w:type="dxa"/>
          <w:bottom w:w="0" w:type="dxa"/>
          <w:right w:w="0" w:type="dxa"/>
        </w:tblCellMar>
      </w:tblPr>
      <w:tblGrid>
        <w:gridCol w:w="7974"/>
        <w:gridCol w:w="146"/>
        <w:gridCol w:w="766"/>
        <w:gridCol w:w="181"/>
        <w:gridCol w:w="146"/>
        <w:gridCol w:w="766"/>
        <w:gridCol w:w="226"/>
      </w:tblGrid>
      <w:tr>
        <w:trPr/>
        <w:tc>
          <w:tcPr>
            <w:tcW w:w="797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2022 </w:t>
              <w:br/>
              <w:t>US$</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2021 </w:t>
              <w:br/>
              <w:t>US$</w:t>
            </w:r>
          </w:p>
        </w:tc>
      </w:tr>
      <w:tr>
        <w:trPr/>
        <w:tc>
          <w:tcPr>
            <w:tcW w:w="79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income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income to 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right-of-use assets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Unbilled revenue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activity:</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property and equipment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investing activity</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common stock and warrant, net of issuance costs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14,618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stock option exercise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for notes payable</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financing activities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13,921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10,996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end of period</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14,174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cash flow information:</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income taxes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operating and financing activities disclosure:</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Cumulative dividend on Series A preferred stock</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preferred stock to common stock</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asset acquired for debt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 and prepaid software maintenance acquired for debt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accompanying notes to the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1010"/>
      <w:bookmarkEnd w:id="38"/>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NATURE OF BUSINESS AND LIQUIDITY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Spectral MD, Inc., headquartered in Dallas, Texas, was incorporated in Delaware on March 9, 2009.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23, 2020, the Company formed its wholly owned subsidiary in Delaware, Spectral MD Holdings, Ltd. (the “Company”). The subsidiary had no activity through December 31, 2020.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21, 2021, Spectral MD Merger Sub, Inc. (“Merger Sub”), a Delaware corporation and wholly owned subsidiary of Spectral MD Holdings, Ltd., merged with and into Spectral MD, Inc. Following the merger, the separate corporate existence of Merger Sub ceased and Spectral MD, Inc. continued as the surviving corporation and through the merger became a wholly owned subsidiary of the Company. In connection with the merger, each share of the Spectral MD, Inc.’s common stock and the Spectral MD, Inc.’s preferred stock issued and outstanding immediately prior to the effective date were converted into one share of Common Stock. All of the stockholders of the Spectral MD, Inc. prior to the merger became stockholders of the Company immediately following the merger. All existing Common Stock of the Company held by the Spectral MD, Inc. were cancelled at the effective date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22, 2021, the Company was listed and started trading on the AIM market of the London Stock Exchange (the “AIM”).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June 21, 2021, all shares of the Company’s common stock issued and outstanding were combined and reclassified on a six for one basis. The effect of this stock split has been retroactively applied to all periods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22, 2021, the Company formed its wholly owned subsidiary in the UK, Spectral MD UK Ltd., (“Spectral MD UK”) in order to prepare for and initiate the regulatory approval process in the E.U. and U.K.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devoting substantially all of its efforts towards research and development of its DeepView® Wound Imaging System. The Company has not generated any product revenue to date. The Company currently generates revenue from contract development and research services by providing such services to governmental agencies, primarily to the Biomedical Advanced Research and Development Authority (“BARDA”). The Company operates in one segment.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Company had approximately $14.2 million and $16.1 million, respectively in cash, and an accumulated deficit of $11.9 million and $9.0 million, respectively. The Company has historically funded its operations through the issuance of notes and the sale of preferred stock and common stock. During 2022, the Company was awarded additional funding of $8.2 million associated with option 1B of the contract with BARDA. During 2021, the Company executed Options 1A and 1B of the contract with BARDA for funding of $39.4 million and during 2022 was awarded additional funding of $8.2 million associated with option 1B, resulting in aggregated funding for Options 1A and 1B (with modification) of $47.6 million, of which $13.6 million is remaining as of December 31, 2022. The BARDA contract funding is to execute the clinical training study of DeepView® Wound Imaging System for burn wound healing assessment. See Research and Development Revenue below. With the Company’s closing on its initial public offering (the “Offering”) during 2021 (see Note 4) and the remaining funding under the BARDA contract, the Company believes it will have sufficient working capital to fund operations for at least one year beyond the release date of the consolidated financial statements. Additionally, the contract with BARDA has a potential funding of up to $96.9 million, in aggregate for Option 1A, 1B and 2, if all future options are executed.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consolidated financial statements have been prepared in conformity with accounting principles generally accepted in the US (“GAAP”) as determined by the Financial Accounting Standards Board (“FASB”) Accounting Standards Codification (“ASC”).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see Note 3 — Previously Reported Financial Statements relating to the immaterial correction of an error in the consolidated balance sheet as of December 31, 2021, consolidated statement of operations, consolidated statement of changes in equity, and consolidated statement of cash flows for the year ended December 31,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Principles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 the accounts of the Company and its wholly owned subsidiaries, Spectral MD, Inc. and Spectral MD UK. Significant inter-company transactions and balances have been eliminated in consolidation.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these consolidated financial statements in conformity with GAAP requires management to make estimates and assumptions that affect the amounts reported in the consolidated financial statements and accompanying notes.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revenue recognition, warrant liability, stock-based compensation expense, and income tax valuation allowances. Actual results could differ from these estimates.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highly liquid investments with an original maturity of three months or less when purchased to be cash equivalents. All cash and cash equivalents are held in US financial institutions.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Accounts Receivable, Net and Unbilled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represent amounts due from US government agencies pursuant to research and development contracts associated with the Company’s DeepView® Wound Imaging System. Accounts receivable amounted to approximately US$2.3 million and US$1.4 million as of December 31, 2022 and 2021,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the collectability of its receivables based on a variety of factors, including the length of time the receivables are past due, the financial health of its customers and historical experience. Based upon the review of these factors, the Company recorded no allowance for doubtful accounts as of December 31, 2022 and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records unbilled revenue when revenue is recognized prior to billing customers. Unbilled revenue amounted to approximately US$0.6 million and US$0.1 million as of December 31, 2022 and 2021,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Concentrations of 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which potentially subject the Company to credit risk consist principally of cash and cash equivalents and accounts receivable. All cash and cash equivalents are held in US financial institutions which, at times, exceed federally insured limits. The Company has not recognized any losses from credit risks on such accounts. The Company believes it is not exposed to significant credit risk on cash and cash equivalents.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credit risk is related to the Company’s concentration of receivables. As of December 31, 2022 and 2021, receivables were concentrated from one customer (which is a US. government agency) representing 96% and 94% of total net receivables, respectively. No allowance for doubtful accounts were recorded as of December 31, 2022 and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customer (which is a U.S. government agency) accounted for 98% of the recognized research and development revenue for both the years ended December 31, 2022 and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tbl>
      <w:tblPr>
        <w:tblW w:w="10205" w:type="dxa"/>
        <w:jc w:val="left"/>
        <w:tblInd w:w="0" w:type="dxa"/>
        <w:tblLayout w:type="fixed"/>
        <w:tblCellMar>
          <w:top w:w="0" w:type="dxa"/>
          <w:left w:w="0" w:type="dxa"/>
          <w:bottom w:w="0" w:type="dxa"/>
          <w:right w:w="0" w:type="dxa"/>
        </w:tblCellMar>
      </w:tblPr>
      <w:tblGrid>
        <w:gridCol w:w="161"/>
        <w:gridCol w:w="146"/>
        <w:gridCol w:w="964"/>
        <w:gridCol w:w="146"/>
        <w:gridCol w:w="8788"/>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96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1 —</w:t>
            </w:r>
          </w:p>
        </w:tc>
        <w:tc>
          <w:tcPr>
            <w:tcW w:w="146" w:type="dxa"/>
            <w:tcBorders/>
          </w:tcPr>
          <w:p>
            <w:pPr>
              <w:pStyle w:val="TableContents"/>
              <w:bidi w:val="0"/>
              <w:spacing w:before="0" w:after="283"/>
              <w:jc w:val="left"/>
              <w:rPr/>
            </w:pPr>
            <w:r>
              <w:rPr/>
              <w:t> </w:t>
            </w:r>
          </w:p>
        </w:tc>
        <w:tc>
          <w:tcPr>
            <w:tcW w:w="878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Unadjusted quoted prices in active markets that are assessable at the measurement date for identical, unrestricted assets or liabilities.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6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2 —</w:t>
            </w:r>
          </w:p>
        </w:tc>
        <w:tc>
          <w:tcPr>
            <w:tcW w:w="146" w:type="dxa"/>
            <w:tcBorders/>
          </w:tcPr>
          <w:p>
            <w:pPr>
              <w:pStyle w:val="TableContents"/>
              <w:bidi w:val="0"/>
              <w:spacing w:before="0" w:after="283"/>
              <w:jc w:val="left"/>
              <w:rPr/>
            </w:pPr>
            <w:r>
              <w:rPr/>
              <w:t> </w:t>
            </w:r>
          </w:p>
        </w:tc>
        <w:tc>
          <w:tcPr>
            <w:tcW w:w="878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Quoted prices in markets that are not active, or inputs that are observable, either directly or indirectly, for substantially the full term of the asset or liability; and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6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3 —</w:t>
            </w:r>
          </w:p>
        </w:tc>
        <w:tc>
          <w:tcPr>
            <w:tcW w:w="146" w:type="dxa"/>
            <w:tcBorders/>
          </w:tcPr>
          <w:p>
            <w:pPr>
              <w:pStyle w:val="TableContents"/>
              <w:bidi w:val="0"/>
              <w:spacing w:before="0" w:after="283"/>
              <w:jc w:val="left"/>
              <w:rPr/>
            </w:pPr>
            <w:r>
              <w:rPr/>
              <w:t> </w:t>
            </w:r>
          </w:p>
        </w:tc>
        <w:tc>
          <w:tcPr>
            <w:tcW w:w="878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Prices or valuation techniques that require inputs that are both significant to the fair value measurement and unobservable (supported by little or no market activity).</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Fair Value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which include cash and cash equivalents, accounts receivable, accounts payable and accrued liabilities are carried at cost, which management believes approximates fair value due to the short-term nature of these instruments.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Currency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reporting currency for the consolidated financial statements of the Company is the US dollar. The functional currency of Spectral MD Holdings, Ltd. is the US dollar. The functional currency of the Company’s subsidiaries is the local currency of the subsidiaries. The assets and liabilities of this subsidiary is translated into US. dollars at exchange rates in effect at the end of each reporting period. Revenues and expenses for these subsidiaries are translated at average exchange rates in effect during the applicable period. Translation adjustments are included in accumulated other comprehensive income as a component of stockholders’ equity. As of December 31, 2022 and December 31, 2021, the Company’s translation adjustments are not material.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Monetary assets and liabilities denominated in currencies other than the functional currency are translated at exchange rates in effect at the balance sheet date. Resulting unrealized gains and losses are included in other income, net in the consolidated statements of operations. For the year ended December 31, 2022 and December 31, 2021 the Company recorded US$0.3 million and US$0.2 million foreign exchange transaction loss, respectively, primarily related to the Company’s bank account denominated in British Pounds and accounts payable denominated in British Pounds, included in foreign exchange transaction loss in the consolidated statements of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January 1, 2022, the Company accounts for its leases under Accounting Standards Codification (“ASC”) 842, Leases. Under this guidance, arrangements meeting the definition of a lease are classified as operating or financing leases and are recorded in the consolidated balance sheets as both a right of use asset and a lease liability, calculated by discounting fixed lease payments at the rate implicit in the lease or the Company’s incremental borrowing rate factoring the term of the lease. The incremental borrowing rate used by the Company is an estimate of the interest rate the Company would incur to borrow an amount equal to the lease payments on a collateralized basis over the term of the lease. Because the Company does not generally borrow on a collateralized basis, it uses the interest rate it pays on its noncollateralized borrowings as an input to deriving an appropriate incremental borrowing rate, adjusted for the amount of lease payments, the lease term and the effect on that rate of designating specific collateral with a value equal to the unpaid lease payments for that lease. Lease liabilities are increased by interest and reduced by payments each period, and the right of use asset is amortized over the lease term. For operating leases, interest on the lease liability and the amortization of the right of use asset results in straight-line rent expense over the lease term. Variable lease expenses are recorded when incurred. For the period ending December 31, 2022 and December 31, 2021, the Company did not have any finance 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adopted ASC 842 using the modified retrospective transition approach. The Company did not have a cumulative effect of adoption as of January 1, 2022. The Company elected a package of practical expedients, under which the Company does not need to reassess (a) whether any expired or existing contracts are or contain leases, (b) the lease classification for any expired or existing leases, or (c) initial direct costs for any existing leases. In calculating the right of use assets and lease liabilities, the Company elects to combine lease and non-lease components. The Company excludes short-term leases having initial terms of 12 months or less from the new guidance as an accounting policy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leases prior to January 1, 2022 under ASC 840, Leases. For the year ended December 31, 2022, the Company recognized rent payments in the Company’s operating leases on a straight-line basis over the lease term.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Derivative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all of its financial instruments, including issued stock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 The Company accounts for its warrants issued to SP Angel, who acts as nominated adviser and broker to the Company for the purposes of the AIM Rules, as derivative liabilities in accordance with ASC 815. Accordingly, the Company recognizes the instruments as liabilities at fair value, determined using the Black-Scholes option-pricing model, and adjusts the instruments to fair value at the end of each reporting period. The liabilities are subject to re-measurement at each balance sheet date until exercised, and any change in fair value is recognized in the Company’s consolidated statements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generally use derivative instruments to hedge exposures to cash flow, market, or foreign currency risks. During the year ended December 31, 2021, the Company entered into one derivative instrument, to set a foreign currency exchange rate, that settled in July 2021. The accounting for changes in fair value of derivatives depends on the intended use of the derivative and resulting designation. The Company did not designate its derivative instrument as a hedge for accounting purposes. As of December 31, 2021, the change in fair value of the derivative instrument was immaterial when the Company marked its derivative instrument to fair value. For the year ended December 31, 2022, the Company did not have any derivative instruments, other than the stock purchase warrants, discussed above.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recognizes revenue when the Company’s customers obtain control of promised goods or services, in an amount that reflects the consideration which the Company expects to receive in exchange for those goods or services by analyzing the following five steps: (1) identify the contract with a customer(s); (2) identify the performance obligations in the contract; (3) determine the transaction price; (4) allocate the transaction price to the performance obligations in the contract; and (5) recognize revenue when (or as) the Company satisfies a performance obligation. In order to transfer control to the customer for contract development and manufacturing services, the Company must have a present right to payment, legal title must have passed to the customer, and the customer must have the significant risks and rewards of ownership. Research and development revenue contracts are generally recognized based upon the cost-to-cost measure of progress;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Company meets the criteria associated with transferring control of the good or service over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generates research and development revenue primarily from cost-</w:t>
      </w:r>
      <w:r>
        <w:rPr>
          <w:rFonts w:ascii="Times New Roman PS Std;serif" w:hAnsi="Times New Roman PS Std;serif"/>
          <w:b w:val="false"/>
          <w:i/>
          <w:caps w:val="false"/>
          <w:smallCaps w:val="false"/>
          <w:sz w:val="20"/>
        </w:rPr>
        <w:t>plus</w:t>
      </w:r>
      <w:r>
        <w:rPr>
          <w:rFonts w:ascii="Times New Roman PS Std;serif" w:hAnsi="Times New Roman PS Std;serif"/>
          <w:b w:val="false"/>
          <w:i w:val="false"/>
          <w:caps w:val="false"/>
          <w:smallCaps w:val="false"/>
          <w:sz w:val="20"/>
        </w:rPr>
        <w:t xml:space="preserve">-fee contracts associated with development of certain product candidates. Revenues from reimbursable contracts are recognized as costs are incurred, generally based on allowable costs incurred during the period, </w:t>
      </w:r>
      <w:r>
        <w:rPr>
          <w:rFonts w:ascii="Times New Roman PS Std;serif" w:hAnsi="Times New Roman PS Std;serif"/>
          <w:b w:val="false"/>
          <w:i/>
          <w:caps w:val="false"/>
          <w:smallCaps w:val="false"/>
          <w:sz w:val="20"/>
        </w:rPr>
        <w:t>plus</w:t>
      </w:r>
      <w:r>
        <w:rPr>
          <w:rFonts w:ascii="Times New Roman PS Std;serif" w:hAnsi="Times New Roman PS Std;serif"/>
          <w:b w:val="false"/>
          <w:i w:val="false"/>
          <w:caps w:val="false"/>
          <w:smallCaps w:val="false"/>
          <w:sz w:val="20"/>
        </w:rPr>
        <w:t xml:space="preserve"> any recognizable earned fee. The Company uses this input method to measure progress as the customer has the benefit of access to the development research under these projects and therefore benefits from the Company’s performance incrementally as research and development activities occur under each project. We consider fixed fees under cost-</w:t>
      </w:r>
      <w:r>
        <w:rPr>
          <w:rFonts w:ascii="Times New Roman PS Std;serif" w:hAnsi="Times New Roman PS Std;serif"/>
          <w:b w:val="false"/>
          <w:i/>
          <w:caps w:val="false"/>
          <w:smallCaps w:val="false"/>
          <w:sz w:val="20"/>
        </w:rPr>
        <w:t>plus</w:t>
      </w:r>
      <w:r>
        <w:rPr>
          <w:rFonts w:ascii="Times New Roman PS Std;serif" w:hAnsi="Times New Roman PS Std;serif"/>
          <w:b w:val="false"/>
          <w:i w:val="false"/>
          <w:caps w:val="false"/>
          <w:smallCaps w:val="false"/>
          <w:sz w:val="20"/>
        </w:rPr>
        <w:t xml:space="preserve">-fee contracts to be earned in proportion to the allowable costs incurred in performance of the contract. Revenue for long-term development contracts is considered variable consideration because the deliverable is dependent on the successful completion of development and is generally recognized based upon the cost-to-cost measure of progress;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Company meets the criteria associated with satisfying the performance obligation over time. The Company was awarded multiyear contracts in 2019 and 2021 (modified for additional funding in 2022) by BARDA for the development of the Company’s DeepView® Wound Imaging Solution. BARDA may award contracts that are less than 12 months depending on the scope of work and deliverables.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from customers are generally received within 30 days of when the invoice is 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Company’s contracts have an expected duration of one year or less, the Company has elected the practical expedient in ASC 606-10-50-14(a) to not disclose information about its remaining performance obligations.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expenses research and development costs as operating expenses as incurred. These expenses include salaries for research and development personnel, consulting fees, product development, pre-clinical studies, clinical trial costs, and other fees and costs related to the development of the technology.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all stock-based payments to employees and non-employees, including grants of stock options, restricted stock awards (“RSAs”) and stock options with non-market performance conditions (“PSOs”) to be recognized in the consolidated financial statements, based on their respective grant date fair values. The Company estimates the fair value of stock option grants and PSOs using the Black-Scholes option pricing model. The RSAs are valued based on the fair value of the Company’s common stock on the date of grant. The assumptions used in calculating the fair value of the Company’s stock and stock-based awards represent management’s best estimates and involve inherent uncertainties and the application of management’s judgment. The Company expenses stock-based compensation related to stock options and RSAs over the requisite service period. As the PSOs have performance conditions, compensation expense is recognized for each award if and when the Company’s management deems it probable that the performance conditions will be satisfied. Forfeitures are recorded as they occur. Compensation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previously recorded for unvested equity awards that are forfeited is reversed upon forfeiture. The Company expenses stock-based compensation to employees over the requisite service period, on a straight-line basis, based on the estimated grant-date fair value of the awards.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has no uncertain tax positions as of December 31, 2022 and 2021 that qualify for either recognition or disclosure in the consolidated financial statements under this guidance.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policy is to classify assessments, if any, for tax related interest as interest expense and penalties as general and administrative expenses in the consolidated statements of operations. There were no amounts accrued for interest or penalties for the years ended December 31, 2022 and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Comprehensive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loss is equal to net loss as presented in the consolidated statements of operations, as the Company did not have any material other comprehensive income or loss for the periods presented.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per Share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share of common stock is computed by dividing the net loss attributable to common stockholders by the weighted-average number of shares of common stock outstanding during the period. Diluted net loss per share of common stock adjusts basic earnings per share for the potentially dilutive impact of unvested restricted stock, stock options, warrants and preferred stock. Dilutive securities having an anti-dilutive effect on diluted net earnings per share are excluded from the calculation. The dilutive effect of the unvested restricted stock and stock options is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 The Company applies the if-converted method to compute the potentially dilutive effect of the Series A preferred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Adopted Accounting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2016, the FASB issued ASU No. 2016-02, Leases (Topic 842) (“ASU 2016-02”). ASU 2016-02 requires an entity to recognize assets and liabilities arising from a lease for both financing and operating leases. ASU 2016-02 will also require new qualitative and quantitative disclosures to help investors and other financial statement users better understand the amount, timing, and uncertainty of cash flows arising from leases. The Company adopted ASU 2016-02 on January 1, 2022. The Company recorded a right-of-use asset and lease liabilities each of approximately US$0.6 million upon the adoption of ASU 2016-02. See Note 9.</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2016, the FASB issued ASU No. 2016-13, Financial Instruments — Credit Losses, which was subsequently amended by ASU 2018-19 and ASU 2019-10. This standard requires the measurement of expected credit losses for financial instruments carried at amortized cost held at the reporting date based on historical experience, current conditions and reasonable forecasts. The updated guidance also amends the current other-than-temporary impairment model for available-for-sale debt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 The main objective of this ASU is to provide financial statement users with more decision-useful information about the expected credit losses on financial instruments and other commitments to extend credit held by a reporting entity at each reporting date. With the issuance of ASU 2019-10 in November 2019, the standard is effective for fiscal years and interim periods within those fiscal years beginning after December 15, 2022. The Company will continue to assess the possible impact of this standard, but currently does not expect the adoption of this standard will have a significant impact on its consolidated financial statements, given its limited history of bad debt expense relating to trade accounts receivable.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2020, the FASB issued ASU No. 2020-06, Debt — Debt with Conversion and Other Options (Subtopic 470-20) and Derivatives and Hedging — Contracts in Entity’s Own Equity (Subtopic 815-40): Accounting for Convertible Instruments and Contracts in an Entity’s Own Equity, which 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the Company on January 1, 2024. Early adoption is permitted, but no earlier than January 1, 2021. The Company is currently evaluating the impact of this standard on its consolidated financial statements and related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the FASB issued ASU 2022-03, ASC Subtopic 820 “Fair Value Measurement of Equity Securities Subject to Contractual Sale Restrictions.” The FASB is issuing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For public business entities, the amendments in this Update are effective for fiscal years beginning after December 15, 2023, and interim periods within those fiscal years. Early adoption is permitted for both interim and annual financial statements that have not yet been issued or made available for issuance. The Company is still evaluating the impact of this pronouncement on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IMMATERIAL CORRECTIONS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Staff Accounting Bulletin No. 99, “Materiality,” and FASB, Statement of Financial Accounting Concepts No. 2 “Qualitative Characteristics of Accounting Information” indicate that quantifying and aggregating errors is only the beginning of an analysis of materiality and that both quantitative and qualitative factors must be considered in determining whether individual errors are material. The Company evaluated the corrections related to incorrectly recording certain revenues and operating expenses for the year ended December 31, 2021. As a result, adjustments for the immaterial correction of the error were applied for comparative purposes, as shown below.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IMMATERIAL CORRECTIONS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balance sheet as of December 31, 2021, consolidated statement of operations, consolidated statement of changes in equity, and consolidated statement of cash flows for the year ended December 31, 2021 have been adjusted as presented in the following tables (in thousands):</w:t>
      </w:r>
    </w:p>
    <w:tbl>
      <w:tblPr>
        <w:tblW w:w="9694" w:type="dxa"/>
        <w:jc w:val="left"/>
        <w:tblInd w:w="0" w:type="dxa"/>
        <w:tblLayout w:type="fixed"/>
        <w:tblCellMar>
          <w:top w:w="0" w:type="dxa"/>
          <w:left w:w="0" w:type="dxa"/>
          <w:bottom w:w="0" w:type="dxa"/>
          <w:right w:w="0" w:type="dxa"/>
        </w:tblCellMar>
      </w:tblPr>
      <w:tblGrid>
        <w:gridCol w:w="4591"/>
        <w:gridCol w:w="146"/>
        <w:gridCol w:w="1274"/>
        <w:gridCol w:w="301"/>
        <w:gridCol w:w="146"/>
        <w:gridCol w:w="1101"/>
        <w:gridCol w:w="369"/>
        <w:gridCol w:w="146"/>
        <w:gridCol w:w="1251"/>
        <w:gridCol w:w="369"/>
      </w:tblGrid>
      <w:tr>
        <w:trPr/>
        <w:tc>
          <w:tcPr>
            <w:tcW w:w="45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Previously </w:t>
              <w:br/>
              <w:t xml:space="preserve">Reported </w:t>
              <w:br/>
              <w:t xml:space="preserve">December 31, </w:t>
              <w:br/>
              <w:t xml:space="preserve">2021 </w:t>
              <w:br/>
              <w:t>US$</w:t>
            </w:r>
          </w:p>
        </w:tc>
        <w:tc>
          <w:tcPr>
            <w:tcW w:w="146"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Adjustments </w:t>
              <w:br/>
              <w:t>US$</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Adjusted </w:t>
              <w:br/>
              <w:t xml:space="preserve">December 31, </w:t>
              <w:br/>
              <w:t xml:space="preserve">2021 </w:t>
              <w:br/>
              <w:t>US$</w:t>
            </w:r>
          </w:p>
        </w:tc>
      </w:tr>
      <w:tr>
        <w:trPr/>
        <w:tc>
          <w:tcPr>
            <w:tcW w:w="4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Unbilled revenue</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858</w:t>
            </w:r>
          </w:p>
        </w:tc>
        <w:tc>
          <w:tcPr>
            <w:tcW w:w="3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3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w:t>
            </w:r>
          </w:p>
        </w:tc>
        <w:tc>
          <w:tcPr>
            <w:tcW w:w="3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18,414</w:t>
            </w:r>
          </w:p>
        </w:tc>
        <w:tc>
          <w:tcPr>
            <w:tcW w:w="3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18,467</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18,486</w:t>
            </w:r>
          </w:p>
        </w:tc>
        <w:tc>
          <w:tcPr>
            <w:tcW w:w="3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3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18,539</w:t>
            </w:r>
          </w:p>
        </w:tc>
        <w:tc>
          <w:tcPr>
            <w:tcW w:w="3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Equity</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w:t>
            </w:r>
          </w:p>
        </w:tc>
        <w:tc>
          <w:tcPr>
            <w:tcW w:w="3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3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w:t>
            </w:r>
          </w:p>
        </w:tc>
        <w:tc>
          <w:tcPr>
            <w:tcW w:w="3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2,391</w:t>
            </w:r>
          </w:p>
        </w:tc>
        <w:tc>
          <w:tcPr>
            <w:tcW w:w="3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2,603</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w:t>
            </w:r>
          </w:p>
        </w:tc>
        <w:tc>
          <w:tcPr>
            <w:tcW w:w="3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3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3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w:t>
            </w:r>
          </w:p>
        </w:tc>
        <w:tc>
          <w:tcPr>
            <w:tcW w:w="3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3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Equity</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(9,189</w:t>
            </w:r>
          </w:p>
        </w:tc>
        <w:tc>
          <w:tcPr>
            <w:tcW w:w="3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3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(9,022</w:t>
            </w:r>
          </w:p>
        </w:tc>
        <w:tc>
          <w:tcPr>
            <w:tcW w:w="3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13,586</w:t>
            </w:r>
          </w:p>
        </w:tc>
        <w:tc>
          <w:tcPr>
            <w:tcW w:w="3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13,753</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18,486</w:t>
            </w:r>
          </w:p>
        </w:tc>
        <w:tc>
          <w:tcPr>
            <w:tcW w:w="3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3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18,539</w:t>
            </w:r>
          </w:p>
        </w:tc>
        <w:tc>
          <w:tcPr>
            <w:tcW w:w="3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tbl>
      <w:tblPr>
        <w:tblW w:w="10054" w:type="dxa"/>
        <w:jc w:val="left"/>
        <w:tblInd w:w="0" w:type="dxa"/>
        <w:tblLayout w:type="fixed"/>
        <w:tblCellMar>
          <w:top w:w="0" w:type="dxa"/>
          <w:left w:w="0" w:type="dxa"/>
          <w:bottom w:w="0" w:type="dxa"/>
          <w:right w:w="0" w:type="dxa"/>
        </w:tblCellMar>
      </w:tblPr>
      <w:tblGrid>
        <w:gridCol w:w="5191"/>
        <w:gridCol w:w="146"/>
        <w:gridCol w:w="1237"/>
        <w:gridCol w:w="293"/>
        <w:gridCol w:w="146"/>
        <w:gridCol w:w="1101"/>
        <w:gridCol w:w="369"/>
        <w:gridCol w:w="146"/>
        <w:gridCol w:w="1100"/>
        <w:gridCol w:w="325"/>
      </w:tblGrid>
      <w:tr>
        <w:trPr/>
        <w:tc>
          <w:tcPr>
            <w:tcW w:w="51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Previously </w:t>
              <w:br/>
              <w:t>Reported</w:t>
              <w:br/>
              <w:t xml:space="preserve">2021 </w:t>
              <w:br/>
              <w:t>US$</w:t>
            </w:r>
          </w:p>
        </w:tc>
        <w:tc>
          <w:tcPr>
            <w:tcW w:w="146"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Adjustments </w:t>
              <w:br/>
              <w:t>US$</w:t>
            </w:r>
          </w:p>
        </w:tc>
        <w:tc>
          <w:tcPr>
            <w:tcW w:w="146"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Adjusted </w:t>
              <w:br/>
              <w:t>2021</w:t>
              <w:br/>
              <w:t>US$</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revenue</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15,168</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15,239</w:t>
            </w:r>
          </w:p>
        </w:tc>
        <w:tc>
          <w:tcPr>
            <w:tcW w:w="3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6,981</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3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7,052</w:t>
            </w:r>
          </w:p>
        </w:tc>
        <w:tc>
          <w:tcPr>
            <w:tcW w:w="3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1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costs and expenses:</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11,327</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3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11,231</w:t>
            </w:r>
          </w:p>
        </w:tc>
        <w:tc>
          <w:tcPr>
            <w:tcW w:w="3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costs and expenses</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11,327</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3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0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11,231</w:t>
            </w:r>
          </w:p>
        </w:tc>
        <w:tc>
          <w:tcPr>
            <w:tcW w:w="3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(4,346</w:t>
            </w:r>
          </w:p>
        </w:tc>
        <w:tc>
          <w:tcPr>
            <w:tcW w:w="2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(4,179</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income taxes</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(4,253</w:t>
            </w:r>
          </w:p>
        </w:tc>
        <w:tc>
          <w:tcPr>
            <w:tcW w:w="2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(4,086</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(4,155</w:t>
            </w:r>
          </w:p>
        </w:tc>
        <w:tc>
          <w:tcPr>
            <w:tcW w:w="29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3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(3,988</w:t>
            </w:r>
          </w:p>
        </w:tc>
        <w:tc>
          <w:tcPr>
            <w:tcW w:w="32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(5,414</w:t>
            </w:r>
          </w:p>
        </w:tc>
        <w:tc>
          <w:tcPr>
            <w:tcW w:w="2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(5,247</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(4,155</w:t>
            </w:r>
          </w:p>
        </w:tc>
        <w:tc>
          <w:tcPr>
            <w:tcW w:w="29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3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(3,988</w:t>
            </w:r>
          </w:p>
        </w:tc>
        <w:tc>
          <w:tcPr>
            <w:tcW w:w="32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1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Unbilled revenue</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3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0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32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w:t>
            </w:r>
          </w:p>
        </w:tc>
        <w:tc>
          <w:tcPr>
            <w:tcW w:w="2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w:t>
            </w:r>
          </w:p>
        </w:tc>
        <w:tc>
          <w:tcPr>
            <w:tcW w:w="29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3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0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(2,398</w:t>
            </w:r>
          </w:p>
        </w:tc>
        <w:tc>
          <w:tcPr>
            <w:tcW w:w="32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w:t>
            </w:r>
          </w:p>
        </w:tc>
        <w:tc>
          <w:tcPr>
            <w:tcW w:w="3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w:t>
            </w:r>
          </w:p>
        </w:tc>
        <w:tc>
          <w:tcPr>
            <w:tcW w:w="3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about the Company’s financial liabilities that are measured at fair value on a recurring basis as of December 31, 2022 and December 31, 2021, by level within the fair value hierarchy (in thousands):</w:t>
      </w:r>
    </w:p>
    <w:tbl>
      <w:tblPr>
        <w:tblW w:w="8601" w:type="dxa"/>
        <w:jc w:val="left"/>
        <w:tblInd w:w="0" w:type="dxa"/>
        <w:tblLayout w:type="fixed"/>
        <w:tblCellMar>
          <w:top w:w="0" w:type="dxa"/>
          <w:left w:w="0" w:type="dxa"/>
          <w:bottom w:w="0" w:type="dxa"/>
          <w:right w:w="0" w:type="dxa"/>
        </w:tblCellMar>
      </w:tblPr>
      <w:tblGrid>
        <w:gridCol w:w="1741"/>
        <w:gridCol w:w="146"/>
        <w:gridCol w:w="514"/>
        <w:gridCol w:w="1061"/>
        <w:gridCol w:w="218"/>
        <w:gridCol w:w="627"/>
        <w:gridCol w:w="963"/>
        <w:gridCol w:w="218"/>
        <w:gridCol w:w="509"/>
        <w:gridCol w:w="781"/>
        <w:gridCol w:w="218"/>
        <w:gridCol w:w="492"/>
        <w:gridCol w:w="1113"/>
      </w:tblGrid>
      <w:tr>
        <w:trPr/>
        <w:tc>
          <w:tcPr>
            <w:tcW w:w="17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14"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measured at December 31, 2022</w:t>
            </w:r>
          </w:p>
        </w:tc>
      </w:tr>
      <w:tr>
        <w:trPr/>
        <w:tc>
          <w:tcPr>
            <w:tcW w:w="17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Value at </w:t>
              <w:br/>
              <w:t xml:space="preserve">December 31, </w:t>
              <w:br/>
              <w:t xml:space="preserve">2022 </w:t>
              <w:br/>
              <w:t>US$</w:t>
            </w:r>
          </w:p>
        </w:tc>
        <w:tc>
          <w:tcPr>
            <w:tcW w:w="218" w:type="dxa"/>
            <w:tcBorders/>
            <w:vAlign w:val="bottom"/>
          </w:tcPr>
          <w:p>
            <w:pPr>
              <w:pStyle w:val="TableContents"/>
              <w:bidi w:val="0"/>
              <w:spacing w:before="0" w:after="283"/>
              <w:jc w:val="left"/>
              <w:rPr/>
            </w:pPr>
            <w:r>
              <w:rPr/>
              <w:t> </w:t>
            </w:r>
          </w:p>
        </w:tc>
        <w:tc>
          <w:tcPr>
            <w:tcW w:w="15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Quoted prices </w:t>
              <w:br/>
              <w:t xml:space="preserve">to active </w:t>
              <w:br/>
              <w:t xml:space="preserve">markets </w:t>
              <w:br/>
              <w:t xml:space="preserve">(Level 1) </w:t>
              <w:br/>
              <w:t>US$</w:t>
            </w:r>
          </w:p>
        </w:tc>
        <w:tc>
          <w:tcPr>
            <w:tcW w:w="218" w:type="dxa"/>
            <w:tcBorders/>
            <w:vAlign w:val="bottom"/>
          </w:tcPr>
          <w:p>
            <w:pPr>
              <w:pStyle w:val="TableContents"/>
              <w:bidi w:val="0"/>
              <w:spacing w:before="0" w:after="283"/>
              <w:jc w:val="left"/>
              <w:rPr/>
            </w:pPr>
            <w:r>
              <w:rPr/>
              <w:t> </w:t>
            </w:r>
          </w:p>
        </w:tc>
        <w:tc>
          <w:tcPr>
            <w:tcW w:w="12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observable </w:t>
              <w:br/>
              <w:t xml:space="preserve">inputs </w:t>
              <w:br/>
              <w:t xml:space="preserve">(Level 2) </w:t>
              <w:br/>
              <w:t>US$</w:t>
            </w:r>
          </w:p>
        </w:tc>
        <w:tc>
          <w:tcPr>
            <w:tcW w:w="218" w:type="dxa"/>
            <w:tcBorders/>
            <w:vAlign w:val="bottom"/>
          </w:tcPr>
          <w:p>
            <w:pPr>
              <w:pStyle w:val="TableContents"/>
              <w:bidi w:val="0"/>
              <w:spacing w:before="0" w:after="283"/>
              <w:jc w:val="left"/>
              <w:rPr/>
            </w:pPr>
            <w:r>
              <w:rPr/>
              <w:t> </w:t>
            </w:r>
          </w:p>
        </w:tc>
        <w:tc>
          <w:tcPr>
            <w:tcW w:w="160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unobservable </w:t>
              <w:br/>
              <w:t xml:space="preserve">inputs </w:t>
              <w:br/>
              <w:t xml:space="preserve">(Level 3) </w:t>
              <w:br/>
              <w:t>US$</w:t>
            </w:r>
          </w:p>
        </w:tc>
      </w:tr>
      <w:tr>
        <w:trPr/>
        <w:tc>
          <w:tcPr>
            <w:tcW w:w="17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18"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8"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8"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r>
    </w:tbl>
    <w:tbl>
      <w:tblPr>
        <w:tblW w:w="8601" w:type="dxa"/>
        <w:jc w:val="left"/>
        <w:tblInd w:w="0" w:type="dxa"/>
        <w:tblLayout w:type="fixed"/>
        <w:tblCellMar>
          <w:top w:w="0" w:type="dxa"/>
          <w:left w:w="0" w:type="dxa"/>
          <w:bottom w:w="0" w:type="dxa"/>
          <w:right w:w="0" w:type="dxa"/>
        </w:tblCellMar>
      </w:tblPr>
      <w:tblGrid>
        <w:gridCol w:w="1741"/>
        <w:gridCol w:w="146"/>
        <w:gridCol w:w="514"/>
        <w:gridCol w:w="1061"/>
        <w:gridCol w:w="218"/>
        <w:gridCol w:w="627"/>
        <w:gridCol w:w="963"/>
        <w:gridCol w:w="218"/>
        <w:gridCol w:w="509"/>
        <w:gridCol w:w="781"/>
        <w:gridCol w:w="218"/>
        <w:gridCol w:w="492"/>
        <w:gridCol w:w="1113"/>
      </w:tblGrid>
      <w:tr>
        <w:trPr/>
        <w:tc>
          <w:tcPr>
            <w:tcW w:w="17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14"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measured at December 31, 2021</w:t>
            </w:r>
          </w:p>
        </w:tc>
      </w:tr>
      <w:tr>
        <w:trPr/>
        <w:tc>
          <w:tcPr>
            <w:tcW w:w="17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Value at </w:t>
              <w:br/>
              <w:t xml:space="preserve">December 31, </w:t>
              <w:br/>
              <w:t xml:space="preserve">2021 </w:t>
              <w:br/>
              <w:t>US$</w:t>
            </w:r>
          </w:p>
        </w:tc>
        <w:tc>
          <w:tcPr>
            <w:tcW w:w="218" w:type="dxa"/>
            <w:tcBorders/>
            <w:vAlign w:val="bottom"/>
          </w:tcPr>
          <w:p>
            <w:pPr>
              <w:pStyle w:val="TableContents"/>
              <w:bidi w:val="0"/>
              <w:spacing w:before="0" w:after="283"/>
              <w:jc w:val="left"/>
              <w:rPr/>
            </w:pPr>
            <w:r>
              <w:rPr/>
              <w:t> </w:t>
            </w:r>
          </w:p>
        </w:tc>
        <w:tc>
          <w:tcPr>
            <w:tcW w:w="15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Quoted prices </w:t>
              <w:br/>
              <w:t xml:space="preserve">to active </w:t>
              <w:br/>
              <w:t xml:space="preserve">markets </w:t>
              <w:br/>
              <w:t xml:space="preserve">(Level 1) </w:t>
              <w:br/>
              <w:t>US$</w:t>
            </w:r>
          </w:p>
        </w:tc>
        <w:tc>
          <w:tcPr>
            <w:tcW w:w="218" w:type="dxa"/>
            <w:tcBorders/>
            <w:vAlign w:val="bottom"/>
          </w:tcPr>
          <w:p>
            <w:pPr>
              <w:pStyle w:val="TableContents"/>
              <w:bidi w:val="0"/>
              <w:spacing w:before="0" w:after="283"/>
              <w:jc w:val="left"/>
              <w:rPr/>
            </w:pPr>
            <w:r>
              <w:rPr/>
              <w:t> </w:t>
            </w:r>
          </w:p>
        </w:tc>
        <w:tc>
          <w:tcPr>
            <w:tcW w:w="12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observable </w:t>
              <w:br/>
              <w:t xml:space="preserve">inputs </w:t>
              <w:br/>
              <w:t xml:space="preserve">(Level 2) </w:t>
              <w:br/>
              <w:t>US$</w:t>
            </w:r>
          </w:p>
        </w:tc>
        <w:tc>
          <w:tcPr>
            <w:tcW w:w="218" w:type="dxa"/>
            <w:tcBorders/>
            <w:vAlign w:val="bottom"/>
          </w:tcPr>
          <w:p>
            <w:pPr>
              <w:pStyle w:val="TableContents"/>
              <w:bidi w:val="0"/>
              <w:spacing w:before="0" w:after="283"/>
              <w:jc w:val="left"/>
              <w:rPr/>
            </w:pPr>
            <w:r>
              <w:rPr/>
              <w:t> </w:t>
            </w:r>
          </w:p>
        </w:tc>
        <w:tc>
          <w:tcPr>
            <w:tcW w:w="160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unobservable </w:t>
              <w:br/>
              <w:t xml:space="preserve">inputs </w:t>
              <w:br/>
              <w:t xml:space="preserve">(Level 3) </w:t>
              <w:br/>
              <w:t>US$</w:t>
            </w:r>
          </w:p>
        </w:tc>
      </w:tr>
      <w:tr>
        <w:trPr/>
        <w:tc>
          <w:tcPr>
            <w:tcW w:w="17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18"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8"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8"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transfers between Level 1, 2 or 3 during the year ended December 31, 2022 and December 31,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changes in Level 3 liabilities measured at fair value for the year ended December 31, 2022 and 2021 (in thousands).</w:t>
      </w:r>
    </w:p>
    <w:tbl>
      <w:tblPr>
        <w:tblW w:w="4545" w:type="dxa"/>
        <w:jc w:val="left"/>
        <w:tblInd w:w="0" w:type="dxa"/>
        <w:tblLayout w:type="fixed"/>
        <w:tblCellMar>
          <w:top w:w="0" w:type="dxa"/>
          <w:left w:w="0" w:type="dxa"/>
          <w:bottom w:w="0" w:type="dxa"/>
          <w:right w:w="0" w:type="dxa"/>
        </w:tblCellMar>
      </w:tblPr>
      <w:tblGrid>
        <w:gridCol w:w="3406"/>
        <w:gridCol w:w="146"/>
        <w:gridCol w:w="226"/>
        <w:gridCol w:w="541"/>
        <w:gridCol w:w="226"/>
      </w:tblGrid>
      <w:tr>
        <w:trPr/>
        <w:tc>
          <w:tcPr>
            <w:tcW w:w="3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 January 1, 2021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warrants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 December 31, 2021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December 31, 2022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Both observable and unobservable inputs were used to determine the fair value of positions that the Company has classified within the Level 3 category. Unrealized gains and losses associated with liabilities within the Level 3 category include changes in fair value that were attributable to both observable (e.g., changes in market interest rates) and unobservable (e.g., changes in unobservable long-dated volatilities) inputs.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quantitative information regarding Level 3 fair value measurements inputs at their measurement:</w:t>
      </w:r>
    </w:p>
    <w:tbl>
      <w:tblPr>
        <w:tblW w:w="6387" w:type="dxa"/>
        <w:jc w:val="left"/>
        <w:tblInd w:w="0" w:type="dxa"/>
        <w:tblLayout w:type="fixed"/>
        <w:tblCellMar>
          <w:top w:w="0" w:type="dxa"/>
          <w:left w:w="0" w:type="dxa"/>
          <w:bottom w:w="0" w:type="dxa"/>
          <w:right w:w="0" w:type="dxa"/>
        </w:tblCellMar>
      </w:tblPr>
      <w:tblGrid>
        <w:gridCol w:w="3046"/>
        <w:gridCol w:w="146"/>
        <w:gridCol w:w="1216"/>
        <w:gridCol w:w="286"/>
        <w:gridCol w:w="146"/>
        <w:gridCol w:w="1216"/>
        <w:gridCol w:w="331"/>
      </w:tblGrid>
      <w:tr>
        <w:trPr/>
        <w:tc>
          <w:tcPr>
            <w:tcW w:w="30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0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Strike price (per share in US$)</w:t>
            </w:r>
          </w:p>
        </w:tc>
        <w:tc>
          <w:tcPr>
            <w:tcW w:w="146" w:type="dxa"/>
            <w:tcBorders/>
            <w:shd w:fill="CCEEFF" w:val="clear"/>
          </w:tcPr>
          <w:p>
            <w:pPr>
              <w:pStyle w:val="TableContents"/>
              <w:bidi w:val="0"/>
              <w:spacing w:before="0" w:after="283"/>
              <w:jc w:val="left"/>
              <w:rPr/>
            </w:pPr>
            <w:r>
              <w:rPr/>
              <w:t> </w:t>
            </w:r>
          </w:p>
        </w:tc>
        <w:tc>
          <w:tcPr>
            <w:tcW w:w="121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0.71</w:t>
            </w:r>
          </w:p>
        </w:tc>
        <w:tc>
          <w:tcPr>
            <w:tcW w:w="28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21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0.80</w:t>
            </w:r>
          </w:p>
        </w:tc>
        <w:tc>
          <w:tcPr>
            <w:tcW w:w="331"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Contractual term (years)</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8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331"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Volatility (annual)</w:t>
            </w:r>
          </w:p>
        </w:tc>
        <w:tc>
          <w:tcPr>
            <w:tcW w:w="146" w:type="dxa"/>
            <w:tcBorders/>
            <w:shd w:fill="CCEEFF" w:val="clear"/>
          </w:tcPr>
          <w:p>
            <w:pPr>
              <w:pStyle w:val="TableContents"/>
              <w:bidi w:val="0"/>
              <w:spacing w:before="0" w:after="283"/>
              <w:jc w:val="left"/>
              <w:rPr/>
            </w:pPr>
            <w:r>
              <w:rPr/>
              <w:t> </w:t>
            </w:r>
          </w:p>
        </w:tc>
        <w:tc>
          <w:tcPr>
            <w:tcW w:w="1216"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w:t>
            </w:r>
          </w:p>
        </w:tc>
        <w:tc>
          <w:tcPr>
            <w:tcW w:w="28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1216"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w:t>
            </w:r>
          </w:p>
        </w:tc>
        <w:tc>
          <w:tcPr>
            <w:tcW w:w="33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3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yield (per share)</w:t>
            </w:r>
          </w:p>
        </w:tc>
        <w:tc>
          <w:tcPr>
            <w:tcW w:w="146" w:type="dxa"/>
            <w:tcBorders/>
            <w:shd w:fill="CCEEFF" w:val="clear"/>
          </w:tcPr>
          <w:p>
            <w:pPr>
              <w:pStyle w:val="TableContents"/>
              <w:bidi w:val="0"/>
              <w:spacing w:before="0" w:after="283"/>
              <w:jc w:val="left"/>
              <w:rPr/>
            </w:pPr>
            <w:r>
              <w:rPr/>
              <w:t> </w:t>
            </w:r>
          </w:p>
        </w:tc>
        <w:tc>
          <w:tcPr>
            <w:tcW w:w="1216"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8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1216"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3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RESEARCH AND DEVELOPMENT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2022 and 2021, the Company’s revenues disaggregated by the major sources was as follows (in thousands):</w:t>
      </w:r>
    </w:p>
    <w:tbl>
      <w:tblPr>
        <w:tblW w:w="5395" w:type="dxa"/>
        <w:jc w:val="left"/>
        <w:tblInd w:w="0" w:type="dxa"/>
        <w:tblLayout w:type="fixed"/>
        <w:tblCellMar>
          <w:top w:w="0" w:type="dxa"/>
          <w:left w:w="0" w:type="dxa"/>
          <w:bottom w:w="0" w:type="dxa"/>
          <w:right w:w="0" w:type="dxa"/>
        </w:tblCellMar>
      </w:tblPr>
      <w:tblGrid>
        <w:gridCol w:w="3526"/>
        <w:gridCol w:w="146"/>
        <w:gridCol w:w="766"/>
        <w:gridCol w:w="146"/>
        <w:gridCol w:w="811"/>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BARDA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14,968</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US governmental authorities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25,368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15,239</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ACCRUED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consist of the following as of December 31, 2022 and 2021 (in thousands):</w:t>
      </w:r>
    </w:p>
    <w:tbl>
      <w:tblPr>
        <w:tblW w:w="6820" w:type="dxa"/>
        <w:jc w:val="left"/>
        <w:tblInd w:w="0" w:type="dxa"/>
        <w:tblLayout w:type="fixed"/>
        <w:tblCellMar>
          <w:top w:w="0" w:type="dxa"/>
          <w:left w:w="0" w:type="dxa"/>
          <w:bottom w:w="0" w:type="dxa"/>
          <w:right w:w="0" w:type="dxa"/>
        </w:tblCellMar>
      </w:tblPr>
      <w:tblGrid>
        <w:gridCol w:w="3331"/>
        <w:gridCol w:w="146"/>
        <w:gridCol w:w="1576"/>
        <w:gridCol w:w="146"/>
        <w:gridCol w:w="162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 xml:space="preserve">2022 </w:t>
              <w:br/>
              <w:t>US$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 xml:space="preserve">2021 </w:t>
              <w:br/>
              <w:t>US$</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Salary and wages</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1,135</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operating expenses</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Benefits</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Franchise tax</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rent</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accrued expenses</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2,631</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2,603</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NOTES PAYABLE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and 2021, the Company entered into a financing agreements for a portion of its insurance premium for approximately US$0.4 million (the “2022 Insurance Note”) and US$0.5 million (the “2021 Insurance Note”), respectively. The 2022 Insurance Note and 2021 Insurance Note bear interest at 6.7% per annum and 5.7% per annum, respectively, and are each payable in equal monthly payments of principal and interest maturing in May 2023 and February 2022, respectively. The Company determined that the carrying amounts of the 2022 Insurance Note and 2021 Insurance Note approximate fair value due to the short-term nature of borrowings and current market rates interest rates.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2022, the Company repaid approximately, US$0.2 million of principal and interest for the 2022 Insurance Note. As of December 31, 2022, the Company had an outstanding balance of $0.2 million for the 2022 Insurance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2022 and 2021, the Company repaid approximately US$0.2 million and US$0.3 million, respectively, of principal and interest for the 2021 Insurance Note. There was no outstanding balance for the 2021 Insurance Note as of December 31,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NOTES PAYABLE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PPP Loan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13, 2020, the Company entered into a promissory note with JPMorgan Chase Bank, N.A., as lender, pursuant to the Paycheck Protection Program (“PPP”) of the Coronavirus Aid, Relief, and Economic Security Act (“CARES Act”) for US$768,575 (the “PPP Loan”). The PPP Loan, which matured on April 13, 2022 and bears interest at 1% per annum, can be prepaid at any time prior to maturity with no prepayment penalties. The Company could defer interest and principal payments until September 13, 2021. Beginning on September 13, 2021, the Company was required to make equal monthly payments of principal and interest until the loan maturity on April 13, 2022. The PPP Loan is subject to customary terms for payment defaults and breaches of representations and warranties. The Company did not request the PPP Loan to be forgiven. During each of the years ended December 31, 2022 and 2021, the Company repaid US$0.4 million of principal and interest for the PPP Loan. There was no outstanding balance for the PPP Loan as of December 31, 2022.</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8. Commitments and Contingencies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Company may be subject to various pending or threatened legal actions. In 2022, the Company was incorrectly named as a defendant in a lawsuit. On January 13, 2023, the Company was properly removed as a defendant in the above-mentioned matter. The Company is not currently subject to any material legal proceedings.</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9. 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leases office space for its principal office in Dallas, Texas, which was extended during 2022 to expire in May 2024. During 2022, the Company entered into a lease for office space in the United Kingdom under a lease that expires in May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quantitative information about the Company’s operating leases for the year ended December 31, 2022 (US dollars in thousands):</w:t>
      </w:r>
    </w:p>
    <w:tbl>
      <w:tblPr>
        <w:tblW w:w="10205" w:type="dxa"/>
        <w:jc w:val="left"/>
        <w:tblInd w:w="0" w:type="dxa"/>
        <w:tblLayout w:type="fixed"/>
        <w:tblCellMar>
          <w:top w:w="0" w:type="dxa"/>
          <w:left w:w="0" w:type="dxa"/>
          <w:bottom w:w="0" w:type="dxa"/>
          <w:right w:w="0" w:type="dxa"/>
        </w:tblCellMar>
      </w:tblPr>
      <w:tblGrid>
        <w:gridCol w:w="8976"/>
        <w:gridCol w:w="146"/>
        <w:gridCol w:w="226"/>
        <w:gridCol w:w="526"/>
        <w:gridCol w:w="331"/>
      </w:tblGrid>
      <w:tr>
        <w:trPr/>
        <w:tc>
          <w:tcPr>
            <w:tcW w:w="89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8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89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flows from operating leases (in US$)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9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 obtained in exchange for new operating lease liabilities (in US$)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9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 obtained in exchange for new operating liabilities upon lease extension (in US$)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9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 operating leases (in years)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9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 – operating leases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the components of the Company’s lease cost included in general and administrative expense in the consolidated statement of operations (in thousands):</w:t>
      </w:r>
    </w:p>
    <w:tbl>
      <w:tblPr>
        <w:tblW w:w="3014" w:type="dxa"/>
        <w:jc w:val="left"/>
        <w:tblInd w:w="0" w:type="dxa"/>
        <w:tblLayout w:type="fixed"/>
        <w:tblCellMar>
          <w:top w:w="0" w:type="dxa"/>
          <w:left w:w="0" w:type="dxa"/>
          <w:bottom w:w="0" w:type="dxa"/>
          <w:right w:w="0" w:type="dxa"/>
        </w:tblCellMar>
      </w:tblPr>
      <w:tblGrid>
        <w:gridCol w:w="2131"/>
        <w:gridCol w:w="146"/>
        <w:gridCol w:w="226"/>
        <w:gridCol w:w="511"/>
      </w:tblGrid>
      <w:tr>
        <w:trPr/>
        <w:tc>
          <w:tcPr>
            <w:tcW w:w="21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2022 </w:t>
              <w:br/>
              <w:t>US$</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11" w:type="dxa"/>
            <w:tcBorders/>
            <w:shd w:fill="CCEEFF" w:val="clear"/>
            <w:vAlign w:val="bottom"/>
          </w:tcPr>
          <w:p>
            <w:pPr>
              <w:pStyle w:val="TableContents"/>
              <w:bidi w:val="0"/>
              <w:spacing w:before="0" w:after="283"/>
              <w:jc w:val="left"/>
              <w:rPr/>
            </w:pPr>
            <w:r>
              <w:rPr/>
              <w:t> </w:t>
            </w:r>
          </w:p>
        </w:tc>
      </w:tr>
      <w:tr>
        <w:trPr/>
        <w:tc>
          <w:tcPr>
            <w:tcW w:w="21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w:t>
            </w:r>
          </w:p>
        </w:tc>
      </w:tr>
      <w:tr>
        <w:trPr/>
        <w:tc>
          <w:tcPr>
            <w:tcW w:w="21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lease cost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r>
      <w:tr>
        <w:trPr/>
        <w:tc>
          <w:tcPr>
            <w:tcW w:w="2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rent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lease cost is primarily attributable to amounts paid to lessors for utility charges and property taxes under an office space lease.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9. Leases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future minimum payments under the non-cancelable operating leases under ASC 842 were as follows (in thousands):</w:t>
      </w:r>
    </w:p>
    <w:tbl>
      <w:tblPr>
        <w:tblW w:w="4485" w:type="dxa"/>
        <w:jc w:val="left"/>
        <w:tblInd w:w="0" w:type="dxa"/>
        <w:tblLayout w:type="fixed"/>
        <w:tblCellMar>
          <w:top w:w="0" w:type="dxa"/>
          <w:left w:w="0" w:type="dxa"/>
          <w:bottom w:w="0" w:type="dxa"/>
          <w:right w:w="0" w:type="dxa"/>
        </w:tblCellMar>
      </w:tblPr>
      <w:tblGrid>
        <w:gridCol w:w="3241"/>
        <w:gridCol w:w="146"/>
        <w:gridCol w:w="226"/>
        <w:gridCol w:w="646"/>
        <w:gridCol w:w="226"/>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ending December 31, 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ending December 31, 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2021, the Company recorded rent expense of approximately US$0.8 million included in general and administrative expenses in the consolidated statement of operations in accordance with ASC 840. The future minimum lease minimum payments under the Company’s lease agreement as of December 31, 2021 are as follows (in thousands):</w:t>
      </w:r>
    </w:p>
    <w:tbl>
      <w:tblPr>
        <w:tblW w:w="4124" w:type="dxa"/>
        <w:jc w:val="left"/>
        <w:tblInd w:w="0" w:type="dxa"/>
        <w:tblLayout w:type="fixed"/>
        <w:tblCellMar>
          <w:top w:w="0" w:type="dxa"/>
          <w:left w:w="0" w:type="dxa"/>
          <w:bottom w:w="0" w:type="dxa"/>
          <w:right w:w="0" w:type="dxa"/>
        </w:tblCellMar>
      </w:tblPr>
      <w:tblGrid>
        <w:gridCol w:w="3241"/>
        <w:gridCol w:w="146"/>
        <w:gridCol w:w="226"/>
        <w:gridCol w:w="511"/>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ending December 31, 2022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ending December 31, 2023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ending December 31, 2024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w:t>
            </w:r>
          </w:p>
        </w:tc>
      </w:tr>
    </w:tbl>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10.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December 31, 2021, there were no authorized or outstanding shares of preferred stock. Immediately prior to the Offering, all outstanding shares of Series A preferred stock and unpaid cumulative dividends were converted into 53,889,765 shares of common stock.</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11. Stockholders’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authorized to issue 400,000,000 shares of common stock, par value US$0.001 per share, as of December 31, 2022 and December 31, 2021, respectively. The Company had 135,409,564 and 135,034,564 shares of common stock issued and outstanding as of December 31, 2022 and December 31, 2021, respectively. As of December 31, 2022, the Company was in the process of completing the issuance of an additional 370,000 shares of stock through the exercise of certain stock options by former Company employees.</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12. Stock-based Compensation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2018 Long Term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24, 2018, the Company’s Board adopted the 2018 Long Term Incentive Plan (the “2018 Plan”) which permits granting of incentive stock options (they must meet all statutory requirements), non-qualified stock options, stock appreciation rights, restricted stock, stock units, performance shares, performance units, incentive bonus awards, and other cash-based or stock-based awards. In June 2021, in connection with the IPO, the 2018 Plan was amended so that stock issued pursuant to the 2018 Plan would be the common stock of the Company. Pursuant to the 2018 Plan, stock options must expire within 10 years and must be granted with exercise prices of no less than the fair value of the common stock on the grant date, as determined by the Board of Directors. As of December 31, 2022, 38,354,118 shares of common stock were authorized for issuance under the 2018 Plan, of which 2,187,618 remain available for issuance.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12. Stock-based Compensation</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 Long Term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27, 2022, the Company’s stockholders approved the adoption of the 2022 Long Term Incentive Plan (the “2022 Plan”) which permits granting of incentive stock options (they must meet all statutory requirements), non-qualified stock options, stock appreciation rights, restricted stock, stock units, performance shares, performance units, incentive bonus awards, and other cash-based or stock-based awards. Pursuant to the 2022 Plan, stock options must expire within 10 years and must be granted with exercise prices of no less than the fair value of the common stock on the grant date, as determined by the Board of Directors. As of December 31, 2022, 20,000,000 shares of common stock were authorized for issuance under the 2022 Plan, of which all remain available for issuance.</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RSAs generally vest over four years. A summary of RSA activities for the twelve months ended December 31, 2022 are presented below:</w:t>
      </w:r>
    </w:p>
    <w:tbl>
      <w:tblPr>
        <w:tblW w:w="6491" w:type="dxa"/>
        <w:jc w:val="left"/>
        <w:tblInd w:w="0" w:type="dxa"/>
        <w:tblLayout w:type="fixed"/>
        <w:tblCellMar>
          <w:top w:w="0" w:type="dxa"/>
          <w:left w:w="0" w:type="dxa"/>
          <w:bottom w:w="0" w:type="dxa"/>
          <w:right w:w="0" w:type="dxa"/>
        </w:tblCellMar>
      </w:tblPr>
      <w:tblGrid>
        <w:gridCol w:w="3391"/>
        <w:gridCol w:w="146"/>
        <w:gridCol w:w="1066"/>
        <w:gridCol w:w="181"/>
        <w:gridCol w:w="146"/>
        <w:gridCol w:w="1561"/>
      </w:tblGrid>
      <w:tr>
        <w:trPr/>
        <w:tc>
          <w:tcPr>
            <w:tcW w:w="33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Grant Date </w:t>
              <w:br/>
              <w:t>Fair Value</w:t>
              <w:br/>
              <w:t xml:space="preserve">per Share </w:t>
              <w:br/>
              <w:t>US$</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at January 1, 2021</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1,750,002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0.10</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(687,500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0.10</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at December 31, 2021</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1,062,502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0.10</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0.10</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at December 31, 2022</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312,502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0.10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each employee and non-employee stock option grant is estimated on the date of grant using the Black-Scholes option-pricing model. The Company’s common stock became publicly traded on July 22, 2021 and lacks company-specific historical and implied volatility information. Therefore, it estimates its expected stock volatility based on the historical volatility of a publicly traded set of peer companies. Due to the lack of historical exercise history, the expected term of the Company’s stock options for employees has been determined utilizing the “simplified” method for awards.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applying the Black Scholes option pricing model, the Company used the following assumptions for stock options granted in 2022 and 2021, respectively:</w:t>
      </w:r>
    </w:p>
    <w:tbl>
      <w:tblPr>
        <w:tblW w:w="7062" w:type="dxa"/>
        <w:jc w:val="left"/>
        <w:tblInd w:w="0" w:type="dxa"/>
        <w:tblLayout w:type="fixed"/>
        <w:tblCellMar>
          <w:top w:w="0" w:type="dxa"/>
          <w:left w:w="0" w:type="dxa"/>
          <w:bottom w:w="0" w:type="dxa"/>
          <w:right w:w="0" w:type="dxa"/>
        </w:tblCellMar>
      </w:tblPr>
      <w:tblGrid>
        <w:gridCol w:w="3301"/>
        <w:gridCol w:w="146"/>
        <w:gridCol w:w="1396"/>
        <w:gridCol w:w="286"/>
        <w:gridCol w:w="146"/>
        <w:gridCol w:w="1456"/>
        <w:gridCol w:w="331"/>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 (per share in US$)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0.44</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0.26</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(years)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Volatility (annual)</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yield (per share)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stock options activity for the years ended December 31, 2022 and 2021 is presented below: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12. Stock-based Compensation</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3479"/>
        <w:gridCol w:w="146"/>
        <w:gridCol w:w="1328"/>
        <w:gridCol w:w="203"/>
        <w:gridCol w:w="146"/>
        <w:gridCol w:w="1547"/>
        <w:gridCol w:w="146"/>
        <w:gridCol w:w="1409"/>
        <w:gridCol w:w="146"/>
        <w:gridCol w:w="1655"/>
      </w:tblGrid>
      <w:tr>
        <w:trPr/>
        <w:tc>
          <w:tcPr>
            <w:tcW w:w="347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 Options</w:t>
            </w:r>
          </w:p>
        </w:tc>
        <w:tc>
          <w:tcPr>
            <w:tcW w:w="146" w:type="dxa"/>
            <w:tcBorders/>
            <w:vAlign w:val="bottom"/>
          </w:tcPr>
          <w:p>
            <w:pPr>
              <w:pStyle w:val="TableContents"/>
              <w:bidi w:val="0"/>
              <w:spacing w:before="0" w:after="283"/>
              <w:jc w:val="left"/>
              <w:rPr/>
            </w:pPr>
            <w:r>
              <w:rPr/>
              <w:t> </w:t>
            </w:r>
          </w:p>
        </w:tc>
        <w:tc>
          <w:tcPr>
            <w:tcW w:w="154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Price </w:t>
              <w:br/>
              <w:t>US$</w:t>
            </w:r>
          </w:p>
        </w:tc>
        <w:tc>
          <w:tcPr>
            <w:tcW w:w="146" w:type="dxa"/>
            <w:tcBorders/>
            <w:vAlign w:val="bottom"/>
          </w:tcPr>
          <w:p>
            <w:pPr>
              <w:pStyle w:val="TableContents"/>
              <w:bidi w:val="0"/>
              <w:spacing w:before="0" w:after="283"/>
              <w:jc w:val="left"/>
              <w:rPr/>
            </w:pPr>
            <w:r>
              <w:rPr/>
              <w:t> </w:t>
            </w:r>
          </w:p>
        </w:tc>
        <w:tc>
          <w:tcPr>
            <w:tcW w:w="140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Remaining </w:t>
              <w:br/>
              <w:t xml:space="preserve">Contractual </w:t>
              <w:br/>
              <w:t>Life (in years)</w:t>
            </w:r>
          </w:p>
        </w:tc>
        <w:tc>
          <w:tcPr>
            <w:tcW w:w="146" w:type="dxa"/>
            <w:tcBorders/>
            <w:vAlign w:val="bottom"/>
          </w:tcPr>
          <w:p>
            <w:pPr>
              <w:pStyle w:val="TableContents"/>
              <w:bidi w:val="0"/>
              <w:spacing w:before="0" w:after="283"/>
              <w:jc w:val="left"/>
              <w:rPr/>
            </w:pPr>
            <w:r>
              <w:rPr/>
              <w:t> </w:t>
            </w:r>
          </w:p>
        </w:tc>
        <w:tc>
          <w:tcPr>
            <w:tcW w:w="16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Aggregate </w:t>
              <w:br/>
              <w:t xml:space="preserve">Intrinsic Value </w:t>
              <w:br/>
              <w:t>US$</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at January 1, 2021</w:t>
            </w:r>
          </w:p>
        </w:tc>
        <w:tc>
          <w:tcPr>
            <w:tcW w:w="146"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27,604,500</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0.15</w:t>
            </w:r>
          </w:p>
        </w:tc>
        <w:tc>
          <w:tcPr>
            <w:tcW w:w="1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146"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1,605</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granted</w:t>
            </w:r>
          </w:p>
        </w:tc>
        <w:tc>
          <w:tcPr>
            <w:tcW w:w="146" w:type="dxa"/>
            <w:tcBorders/>
            <w:vAlign w:val="bottom"/>
          </w:tcPr>
          <w:p>
            <w:pPr>
              <w:pStyle w:val="TableContents"/>
              <w:bidi w:val="0"/>
              <w:spacing w:before="0" w:after="283"/>
              <w:jc w:val="left"/>
              <w:rPr/>
            </w:pPr>
            <w:r>
              <w:rPr/>
              <w:t> </w:t>
            </w:r>
          </w:p>
        </w:tc>
        <w:tc>
          <w:tcPr>
            <w:tcW w:w="13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7,208,000</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0.26</w:t>
            </w:r>
          </w:p>
        </w:tc>
        <w:tc>
          <w:tcPr>
            <w:tcW w:w="146" w:type="dxa"/>
            <w:tcBorders/>
            <w:vAlign w:val="bottom"/>
          </w:tcPr>
          <w:p>
            <w:pPr>
              <w:pStyle w:val="TableContents"/>
              <w:bidi w:val="0"/>
              <w:spacing w:before="0" w:after="283"/>
              <w:jc w:val="left"/>
              <w:rPr/>
            </w:pPr>
            <w:r>
              <w:rPr/>
              <w:t> </w:t>
            </w:r>
          </w:p>
        </w:tc>
        <w:tc>
          <w:tcPr>
            <w:tcW w:w="14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146"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left"/>
              <w:rPr/>
            </w:pPr>
            <w:r>
              <w:rPr/>
              <w:t> </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exercised for cash</w:t>
            </w:r>
          </w:p>
        </w:tc>
        <w:tc>
          <w:tcPr>
            <w:tcW w:w="146"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(42,500</w:t>
            </w:r>
          </w:p>
        </w:tc>
        <w:tc>
          <w:tcPr>
            <w:tcW w:w="20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0.15</w:t>
            </w:r>
          </w:p>
        </w:tc>
        <w:tc>
          <w:tcPr>
            <w:tcW w:w="1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left"/>
              <w:rPr/>
            </w:pPr>
            <w:r>
              <w:rPr/>
              <w:t> </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forfeited/expired</w:t>
            </w:r>
          </w:p>
        </w:tc>
        <w:tc>
          <w:tcPr>
            <w:tcW w:w="146" w:type="dxa"/>
            <w:tcBorders/>
            <w:vAlign w:val="bottom"/>
          </w:tcPr>
          <w:p>
            <w:pPr>
              <w:pStyle w:val="TableContents"/>
              <w:bidi w:val="0"/>
              <w:spacing w:before="0" w:after="283"/>
              <w:jc w:val="left"/>
              <w:rPr/>
            </w:pPr>
            <w:r>
              <w:rPr/>
              <w:t> </w:t>
            </w:r>
          </w:p>
        </w:tc>
        <w:tc>
          <w:tcPr>
            <w:tcW w:w="13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(801,000</w:t>
            </w:r>
          </w:p>
        </w:tc>
        <w:tc>
          <w:tcPr>
            <w:tcW w:w="20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0.20</w:t>
            </w:r>
          </w:p>
        </w:tc>
        <w:tc>
          <w:tcPr>
            <w:tcW w:w="1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left"/>
              <w:rPr/>
            </w:pPr>
            <w:r>
              <w:rPr/>
              <w:t> </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at December 31, 2021</w:t>
            </w:r>
          </w:p>
        </w:tc>
        <w:tc>
          <w:tcPr>
            <w:tcW w:w="146"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33,969,000</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0.17</w:t>
            </w:r>
          </w:p>
        </w:tc>
        <w:tc>
          <w:tcPr>
            <w:tcW w:w="1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10,963</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granted</w:t>
            </w:r>
          </w:p>
        </w:tc>
        <w:tc>
          <w:tcPr>
            <w:tcW w:w="146" w:type="dxa"/>
            <w:tcBorders/>
            <w:vAlign w:val="bottom"/>
          </w:tcPr>
          <w:p>
            <w:pPr>
              <w:pStyle w:val="TableContents"/>
              <w:bidi w:val="0"/>
              <w:spacing w:before="0" w:after="283"/>
              <w:jc w:val="left"/>
              <w:rPr/>
            </w:pPr>
            <w:r>
              <w:rPr/>
              <w:t> </w:t>
            </w:r>
          </w:p>
        </w:tc>
        <w:tc>
          <w:tcPr>
            <w:tcW w:w="13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4,285,000</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0.44</w:t>
            </w:r>
          </w:p>
        </w:tc>
        <w:tc>
          <w:tcPr>
            <w:tcW w:w="146" w:type="dxa"/>
            <w:tcBorders/>
            <w:vAlign w:val="bottom"/>
          </w:tcPr>
          <w:p>
            <w:pPr>
              <w:pStyle w:val="TableContents"/>
              <w:bidi w:val="0"/>
              <w:spacing w:before="0" w:after="283"/>
              <w:jc w:val="left"/>
              <w:rPr/>
            </w:pPr>
            <w:r>
              <w:rPr/>
              <w:t> </w:t>
            </w:r>
          </w:p>
        </w:tc>
        <w:tc>
          <w:tcPr>
            <w:tcW w:w="14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left"/>
              <w:rPr/>
            </w:pPr>
            <w:r>
              <w:rPr/>
              <w:t> </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exercised for cash</w:t>
            </w:r>
          </w:p>
        </w:tc>
        <w:tc>
          <w:tcPr>
            <w:tcW w:w="146"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left"/>
              <w:rPr/>
            </w:pPr>
            <w:r>
              <w:rPr/>
              <w:t> </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forfeited/expired</w:t>
            </w:r>
          </w:p>
        </w:tc>
        <w:tc>
          <w:tcPr>
            <w:tcW w:w="146" w:type="dxa"/>
            <w:tcBorders/>
            <w:vAlign w:val="bottom"/>
          </w:tcPr>
          <w:p>
            <w:pPr>
              <w:pStyle w:val="TableContents"/>
              <w:bidi w:val="0"/>
              <w:spacing w:before="0" w:after="283"/>
              <w:jc w:val="left"/>
              <w:rPr/>
            </w:pPr>
            <w:r>
              <w:rPr/>
              <w:t> </w:t>
            </w:r>
          </w:p>
        </w:tc>
        <w:tc>
          <w:tcPr>
            <w:tcW w:w="13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(2,130,000</w:t>
            </w:r>
          </w:p>
        </w:tc>
        <w:tc>
          <w:tcPr>
            <w:tcW w:w="20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0.23</w:t>
            </w:r>
          </w:p>
        </w:tc>
        <w:tc>
          <w:tcPr>
            <w:tcW w:w="1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left"/>
              <w:rPr/>
            </w:pPr>
            <w:r>
              <w:rPr/>
              <w:t> </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at December 31, 2022</w:t>
            </w:r>
          </w:p>
        </w:tc>
        <w:tc>
          <w:tcPr>
            <w:tcW w:w="146"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36,124,000</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0.20</w:t>
            </w:r>
          </w:p>
        </w:tc>
        <w:tc>
          <w:tcPr>
            <w:tcW w:w="1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6,831</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vested and exercisable at December 31, 2022</w:t>
            </w:r>
          </w:p>
        </w:tc>
        <w:tc>
          <w:tcPr>
            <w:tcW w:w="146" w:type="dxa"/>
            <w:tcBorders/>
            <w:vAlign w:val="bottom"/>
          </w:tcPr>
          <w:p>
            <w:pPr>
              <w:pStyle w:val="TableContents"/>
              <w:bidi w:val="0"/>
              <w:spacing w:before="0" w:after="283"/>
              <w:jc w:val="left"/>
              <w:rPr/>
            </w:pPr>
            <w:r>
              <w:rPr/>
              <w:t> </w:t>
            </w:r>
          </w:p>
        </w:tc>
        <w:tc>
          <w:tcPr>
            <w:tcW w:w="13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25,429,771</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0.15</w:t>
            </w:r>
          </w:p>
        </w:tc>
        <w:tc>
          <w:tcPr>
            <w:tcW w:w="146" w:type="dxa"/>
            <w:tcBorders/>
            <w:vAlign w:val="bottom"/>
          </w:tcPr>
          <w:p>
            <w:pPr>
              <w:pStyle w:val="TableContents"/>
              <w:bidi w:val="0"/>
              <w:spacing w:before="0" w:after="283"/>
              <w:jc w:val="left"/>
              <w:rPr/>
            </w:pPr>
            <w:r>
              <w:rPr/>
              <w:t> </w:t>
            </w:r>
          </w:p>
        </w:tc>
        <w:tc>
          <w:tcPr>
            <w:tcW w:w="14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vAlign w:val="bottom"/>
          </w:tcPr>
          <w:p>
            <w:pPr>
              <w:pStyle w:val="TableContents"/>
              <w:bidi w:val="0"/>
              <w:spacing w:before="0" w:after="283"/>
              <w:jc w:val="left"/>
              <w:rPr/>
            </w:pPr>
            <w:r>
              <w:rPr/>
              <w:t> </w:t>
            </w:r>
          </w:p>
        </w:tc>
        <w:tc>
          <w:tcPr>
            <w:tcW w:w="16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5,842</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2022 and 2021, the Company recorded stock-based compensation expense of approximately US$1.2 million and US$1.4 million, respectively, in general and administrative expenses in the consolidated statements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there was approximately US$1.6 million of unrecognized stock-based compensation related to stock option grants that will be amortized over a weighted average period of 1.1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there was approximately US$26,000 of unrecognized stock-based compensation related to restricted stock grants that will be amortized over a weighted average period of 0.3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2018, the Company granted of 10,039,926 stock options to investors (the “Investor Options”) that were approved by the Board of Directors outside of the 2018 Plan. During the year ended December 31, 2022, 358,572 Investor Options expire and the remaining 9,681,354 Investor Options will expire in November 2023. The Investor Options have an exercise price of US$1.20 per share. As of December 31, 2022, there is no unrecognized stock-based compensation expense related to the Investor Options.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22, 2021, in conjunction with the closing of the Company’s IPO, the Company issued 762,712 warrants, with strike price of US$0.89 and a five-year life, to SP Angel, who acts as nominated adviser and broker to the Company for the purposes of the AIM Rules. As of December 31, 2022, there are 762,712 warrants outstanding with an exercise price of US$0.71.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2022 and 2021, the Company had available federal net operating loss carryforwards (“NOLs”) of US$2.2 million and US$3.0 million, respectively, which are available to offset future federal taxable income. Under the Tax Cuts and Jobs Act, all NOLs incurred after December 31, 2017 are carried forward indefinitely for federal tax purposes. The Coronavirus Aid, Relief, and Economic Security Act (“CARES Act”) signed in to law on March 27, 2020;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NOLs generated in a taxable year beginning in 2020, 2019, or 2018, may now be carried back five years and forward indefinitely. In addition, the limitation of NOL utilization up to 80% of taxable income limitation is temporarily (for 2020, 2019 and 2018) removed, allowing NOLs to fully offset taxable income. Federal tax returns for the years 2018, 2019 and 2020 remain subject to audit.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temporary differences that give rise to significant portions of the deferred tax asset is presented below (in thousands):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INCOME TAXES </w:t>
      </w:r>
      <w:r>
        <w:rPr>
          <w:rFonts w:ascii="Times New Roman PS Std;serif" w:hAnsi="Times New Roman PS Std;serif"/>
          <w:b w:val="false"/>
          <w:i w:val="false"/>
          <w:caps w:val="false"/>
          <w:smallCaps w:val="false"/>
          <w:sz w:val="20"/>
        </w:rPr>
        <w:t>(cont.)</w:t>
      </w:r>
    </w:p>
    <w:tbl>
      <w:tblPr>
        <w:tblW w:w="8382" w:type="dxa"/>
        <w:jc w:val="left"/>
        <w:tblInd w:w="0" w:type="dxa"/>
        <w:tblLayout w:type="fixed"/>
        <w:tblCellMar>
          <w:top w:w="0" w:type="dxa"/>
          <w:left w:w="0" w:type="dxa"/>
          <w:bottom w:w="0" w:type="dxa"/>
          <w:right w:w="0" w:type="dxa"/>
        </w:tblCellMar>
      </w:tblPr>
      <w:tblGrid>
        <w:gridCol w:w="6241"/>
        <w:gridCol w:w="146"/>
        <w:gridCol w:w="721"/>
        <w:gridCol w:w="181"/>
        <w:gridCol w:w="146"/>
        <w:gridCol w:w="721"/>
        <w:gridCol w:w="226"/>
      </w:tblGrid>
      <w:tr>
        <w:trPr/>
        <w:tc>
          <w:tcPr>
            <w:tcW w:w="6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2022 </w:t>
              <w:br/>
              <w:t>US$</w:t>
            </w:r>
          </w:p>
        </w:tc>
        <w:tc>
          <w:tcPr>
            <w:tcW w:w="146"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2021 </w:t>
              <w:br/>
              <w:t>US$</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 assets: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carryforwards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research expenses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income tax assets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 liabilities: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income tax liabilities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deferred income tax assets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income tax assets, net of valuation allowance</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740, “Income Taxes” requires that a valuation allowance be established when it is “more likely than not” that all, or a portion of, deferred tax assets will not be realized. A review of all available positive and negative evidence needs to be considered, including the scheduled reversal of deferred tax liabilities, projected future taxable income, and tax planning strategies. After consideration of all the information available, management believes that uncertainty exists with respect to future realization of its deferred tax assets and has, therefore, established a full valuation allowance as of December 31, 2022, and 2021. The net change in valuation allowance for the years ended December 31, 2022 and 2021 was an increase of $US 0.3 million and US $0.5 million,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tax provision consists of the following as of December 31 (in thousands):</w:t>
      </w:r>
    </w:p>
    <w:tbl>
      <w:tblPr>
        <w:tblW w:w="5381" w:type="dxa"/>
        <w:jc w:val="left"/>
        <w:tblInd w:w="0" w:type="dxa"/>
        <w:tblLayout w:type="fixed"/>
        <w:tblCellMar>
          <w:top w:w="0" w:type="dxa"/>
          <w:left w:w="0" w:type="dxa"/>
          <w:bottom w:w="0" w:type="dxa"/>
          <w:right w:w="0" w:type="dxa"/>
        </w:tblCellMar>
      </w:tblPr>
      <w:tblGrid>
        <w:gridCol w:w="3676"/>
        <w:gridCol w:w="146"/>
        <w:gridCol w:w="646"/>
        <w:gridCol w:w="146"/>
        <w:gridCol w:w="541"/>
        <w:gridCol w:w="226"/>
      </w:tblGrid>
      <w:tr>
        <w:trPr/>
        <w:tc>
          <w:tcPr>
            <w:tcW w:w="36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2022 </w:t>
              <w:br/>
              <w:t>US$</w:t>
            </w:r>
          </w:p>
        </w:tc>
        <w:tc>
          <w:tcPr>
            <w:tcW w:w="146" w:type="dxa"/>
            <w:tcBorders/>
            <w:vAlign w:val="bottom"/>
          </w:tcPr>
          <w:p>
            <w:pPr>
              <w:pStyle w:val="TableContents"/>
              <w:bidi w:val="0"/>
              <w:spacing w:before="0" w:after="283"/>
              <w:jc w:val="left"/>
              <w:rPr/>
            </w:pPr>
            <w:r>
              <w:rPr/>
              <w:t> </w:t>
            </w:r>
          </w:p>
        </w:tc>
        <w:tc>
          <w:tcPr>
            <w:tcW w:w="7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2021 </w:t>
              <w:br/>
              <w:t>US$</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Federal</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State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provision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Federal</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State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provision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provision for income taxes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US. Statutory income tax rate to the Company’s effective tax rate is as follows: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MD Holdings, Ltd.</w:t>
        <w:br/>
        <w:t>Notes to Consolidated Financial Statements</w:t>
        <w:br/>
        <w:t>December 31, 2022 and 2021</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INCOME TAXES </w:t>
      </w:r>
      <w:r>
        <w:rPr>
          <w:rFonts w:ascii="Times New Roman PS Std;serif" w:hAnsi="Times New Roman PS Std;serif"/>
          <w:b w:val="false"/>
          <w:i w:val="false"/>
          <w:caps w:val="false"/>
          <w:smallCaps w:val="false"/>
          <w:sz w:val="20"/>
        </w:rPr>
        <w:t>(cont.)</w:t>
      </w:r>
    </w:p>
    <w:tbl>
      <w:tblPr>
        <w:tblW w:w="5637" w:type="dxa"/>
        <w:jc w:val="left"/>
        <w:tblInd w:w="0" w:type="dxa"/>
        <w:tblLayout w:type="fixed"/>
        <w:tblCellMar>
          <w:top w:w="0" w:type="dxa"/>
          <w:left w:w="0" w:type="dxa"/>
          <w:bottom w:w="0" w:type="dxa"/>
          <w:right w:w="0" w:type="dxa"/>
        </w:tblCellMar>
      </w:tblPr>
      <w:tblGrid>
        <w:gridCol w:w="3376"/>
        <w:gridCol w:w="146"/>
        <w:gridCol w:w="601"/>
        <w:gridCol w:w="361"/>
        <w:gridCol w:w="146"/>
        <w:gridCol w:w="601"/>
        <w:gridCol w:w="406"/>
      </w:tblGrid>
      <w:tr>
        <w:trPr/>
        <w:tc>
          <w:tcPr>
            <w:tcW w:w="33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2022 </w:t>
              <w:br/>
              <w:t>US$</w:t>
            </w:r>
          </w:p>
        </w:tc>
        <w:tc>
          <w:tcPr>
            <w:tcW w:w="146"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2021 </w:t>
              <w:br/>
              <w:t>US$</w:t>
            </w:r>
          </w:p>
        </w:tc>
      </w:tr>
      <w:tr>
        <w:trPr/>
        <w:tc>
          <w:tcPr>
            <w:tcW w:w="33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Statutory federal income tax rate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taxes, net of federal</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NET LOSS PER COMMON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common share attributable to common stockholders are the same for the year ended December 31, 2022 and 2021, since the inclusion of all potential shares of common stock outstanding would have been anti-dilutive due to the Company’s net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potentially dilutive securities that were excluded from the computation of net loss per common share as of the periods presented because including them would be anti-dilutive.</w:t>
      </w:r>
    </w:p>
    <w:tbl>
      <w:tblPr>
        <w:tblW w:w="6010" w:type="dxa"/>
        <w:jc w:val="left"/>
        <w:tblInd w:w="0" w:type="dxa"/>
        <w:tblLayout w:type="fixed"/>
        <w:tblCellMar>
          <w:top w:w="0" w:type="dxa"/>
          <w:left w:w="0" w:type="dxa"/>
          <w:bottom w:w="0" w:type="dxa"/>
          <w:right w:w="0" w:type="dxa"/>
        </w:tblCellMar>
      </w:tblPr>
      <w:tblGrid>
        <w:gridCol w:w="3301"/>
        <w:gridCol w:w="146"/>
        <w:gridCol w:w="1186"/>
        <w:gridCol w:w="146"/>
        <w:gridCol w:w="1231"/>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 options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45,805,354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33,969,000</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 warrants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762,712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762,712</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Unvested restricted stock</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312,500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1,062,502</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Potentially dilutive securities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46,880,566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35,794,214</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2022 and 2021, the Company did not have any transactions with related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2023, the Company paid aggregate bonuses of US$755,000 to various employees of the Company, including US$385,000 to Mr. Fan. These amounts were included in accrued expenses on the consolidated balance sheet as of December 31,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1011"/>
      <w:bookmarkEnd w:id="39"/>
      <w:r>
        <w:rPr>
          <w:rFonts w:ascii="Times New Roman PS Std;serif" w:hAnsi="Times New Roman PS Std;serif"/>
          <w:b/>
          <w:i w:val="false"/>
          <w:caps w:val="false"/>
          <w:smallCaps w:val="false"/>
          <w:sz w:val="20"/>
        </w:rPr>
        <w:t>Spectral AI, Inc.</w:t>
        <w:br/>
        <w:t>Unaudited Condensed Consolidated Balance Sheets</w:t>
        <w:br/>
        <w:t>(in thousands, except share and per share data)</w:t>
      </w:r>
    </w:p>
    <w:tbl>
      <w:tblPr>
        <w:tblW w:w="10205" w:type="dxa"/>
        <w:jc w:val="left"/>
        <w:tblInd w:w="0" w:type="dxa"/>
        <w:tblLayout w:type="fixed"/>
        <w:tblCellMar>
          <w:top w:w="0" w:type="dxa"/>
          <w:left w:w="0" w:type="dxa"/>
          <w:bottom w:w="0" w:type="dxa"/>
          <w:right w:w="0" w:type="dxa"/>
        </w:tblCellMar>
      </w:tblPr>
      <w:tblGrid>
        <w:gridCol w:w="6731"/>
        <w:gridCol w:w="146"/>
        <w:gridCol w:w="293"/>
        <w:gridCol w:w="1092"/>
        <w:gridCol w:w="236"/>
        <w:gridCol w:w="146"/>
        <w:gridCol w:w="272"/>
        <w:gridCol w:w="1015"/>
        <w:gridCol w:w="274"/>
      </w:tblGrid>
      <w:tr>
        <w:trPr/>
        <w:tc>
          <w:tcPr>
            <w:tcW w:w="6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w:t>
              <w:br/>
              <w:t>2023</w:t>
            </w:r>
          </w:p>
        </w:tc>
        <w:tc>
          <w:tcPr>
            <w:tcW w:w="146" w:type="dxa"/>
            <w:tcBorders/>
            <w:vAlign w:val="bottom"/>
          </w:tcPr>
          <w:p>
            <w:pPr>
              <w:pStyle w:val="TableContents"/>
              <w:bidi w:val="0"/>
              <w:spacing w:before="0" w:after="283"/>
              <w:jc w:val="left"/>
              <w:rPr/>
            </w:pPr>
            <w:r>
              <w:rPr/>
              <w:t> </w:t>
            </w:r>
          </w:p>
        </w:tc>
        <w:tc>
          <w:tcPr>
            <w:tcW w:w="156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2022</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9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92"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5"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7,348</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14,174</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2,294</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Unbilled revenue</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1,755</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11,356</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17,687</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92"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5"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assets:</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9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9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12,331</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18,716</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9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8)</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92"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5"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9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Equity</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92"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5"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9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3,275</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2,759</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3,983</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2,631</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bidi w:val="0"/>
              <w:spacing w:before="0" w:after="283"/>
              <w:jc w:val="left"/>
              <w:rPr/>
            </w:pPr>
            <w:r>
              <w:rPr/>
              <w:t>—</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short-term</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1,149</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10,647</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6,374</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long-term</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10,875</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6,720</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9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Equity</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92"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5"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($0.0001 par value); 1,000,000 shares authorized; no shares issued and outstanding as of September 30, 2023 and December 31, 2022</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shd w:fill="CCEEFF" w:val="clear"/>
            <w:vAlign w:val="bottom"/>
          </w:tcPr>
          <w:p>
            <w:pPr>
              <w:pStyle w:val="TableContents"/>
              <w:bidi w:val="0"/>
              <w:spacing w:before="0" w:after="283"/>
              <w:jc w:val="left"/>
              <w:rPr/>
            </w:pPr>
            <w:r>
              <w:rPr/>
              <w:t>—</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bidi w:val="0"/>
              <w:spacing w:before="0" w:after="283"/>
              <w:jc w:val="left"/>
              <w:rPr/>
            </w:pPr>
            <w:r>
              <w:rPr/>
              <w:t>—</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($0.0001 par value); 80,000,000 shares authorized; 15,688,268 and 13,127,472 shares issued and outstanding as of September 30, 2023 and December 31, 2022, respectively</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30,696</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23,929</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(29,242</w:t>
            </w:r>
          </w:p>
        </w:tc>
        <w:tc>
          <w:tcPr>
            <w:tcW w:w="2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(11,934</w:t>
            </w:r>
          </w:p>
        </w:tc>
        <w:tc>
          <w:tcPr>
            <w:tcW w:w="27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11,996</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vAlign w:val="bottom"/>
          </w:tcPr>
          <w:p>
            <w:pPr>
              <w:pStyle w:val="TableContents"/>
              <w:bidi w:val="0"/>
              <w:spacing w:before="0" w:after="283"/>
              <w:jc w:val="left"/>
              <w:rPr/>
            </w:pPr>
            <w:r>
              <w:rPr/>
              <w:t> </w:t>
            </w:r>
          </w:p>
        </w:tc>
        <w:tc>
          <w:tcPr>
            <w:tcW w:w="29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12,331</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18,716</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accompanying notes to the condensed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1012"/>
      <w:bookmarkEnd w:id="40"/>
      <w:r>
        <w:rPr>
          <w:rFonts w:ascii="Times New Roman PS Std;serif" w:hAnsi="Times New Roman PS Std;serif"/>
          <w:b/>
          <w:i w:val="false"/>
          <w:caps w:val="false"/>
          <w:smallCaps w:val="false"/>
          <w:sz w:val="20"/>
        </w:rPr>
        <w:t>Spectral AI, Inc.</w:t>
        <w:br/>
        <w:t>Unaudited Condensed Consolidated Statements of Operations</w:t>
        <w:br/>
        <w:t>(in thousands, except share and per share data)</w:t>
      </w:r>
    </w:p>
    <w:tbl>
      <w:tblPr>
        <w:tblW w:w="10205" w:type="dxa"/>
        <w:jc w:val="left"/>
        <w:tblInd w:w="0" w:type="dxa"/>
        <w:tblLayout w:type="fixed"/>
        <w:tblCellMar>
          <w:top w:w="0" w:type="dxa"/>
          <w:left w:w="0" w:type="dxa"/>
          <w:bottom w:w="0" w:type="dxa"/>
          <w:right w:w="0" w:type="dxa"/>
        </w:tblCellMar>
      </w:tblPr>
      <w:tblGrid>
        <w:gridCol w:w="3204"/>
        <w:gridCol w:w="146"/>
        <w:gridCol w:w="226"/>
        <w:gridCol w:w="1186"/>
        <w:gridCol w:w="181"/>
        <w:gridCol w:w="146"/>
        <w:gridCol w:w="226"/>
        <w:gridCol w:w="1186"/>
        <w:gridCol w:w="181"/>
        <w:gridCol w:w="146"/>
        <w:gridCol w:w="226"/>
        <w:gridCol w:w="1186"/>
        <w:gridCol w:w="181"/>
        <w:gridCol w:w="146"/>
        <w:gridCol w:w="226"/>
        <w:gridCol w:w="1186"/>
        <w:gridCol w:w="226"/>
      </w:tblGrid>
      <w:tr>
        <w:trPr/>
        <w:tc>
          <w:tcPr>
            <w:tcW w:w="32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p>
        </w:tc>
        <w:tc>
          <w:tcPr>
            <w:tcW w:w="146" w:type="dxa"/>
            <w:tcBorders/>
            <w:vAlign w:val="bottom"/>
          </w:tcPr>
          <w:p>
            <w:pPr>
              <w:pStyle w:val="TableContents"/>
              <w:bidi w:val="0"/>
              <w:spacing w:before="0" w:after="283"/>
              <w:jc w:val="left"/>
              <w:rPr/>
            </w:pPr>
            <w:r>
              <w:rPr/>
              <w:t> </w:t>
            </w:r>
          </w:p>
        </w:tc>
        <w:tc>
          <w:tcPr>
            <w:tcW w:w="33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p>
        </w:tc>
      </w:tr>
      <w:tr>
        <w:trPr/>
        <w:tc>
          <w:tcPr>
            <w:tcW w:w="32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6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12,769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19,272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costs and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15,499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costs and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15,499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(10,055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interest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transaction loss,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income taxes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(17,276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benefit (provision)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of common stock</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04" w:type="dxa"/>
            <w:tcBorders/>
            <w:vAlign w:val="bottom"/>
          </w:tcPr>
          <w:p>
            <w:pPr>
              <w:pStyle w:val="TableContents"/>
              <w:bidi w:val="0"/>
              <w:spacing w:before="0" w:after="283"/>
              <w:jc w:val="left"/>
              <w:rPr/>
            </w:pPr>
            <w:r>
              <w:rPr/>
              <w:t>Basic and Diluted</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common shares outstanding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04" w:type="dxa"/>
            <w:tcBorders/>
            <w:vAlign w:val="bottom"/>
          </w:tcPr>
          <w:p>
            <w:pPr>
              <w:pStyle w:val="TableContents"/>
              <w:bidi w:val="0"/>
              <w:spacing w:before="0" w:after="283"/>
              <w:jc w:val="left"/>
              <w:rPr/>
            </w:pPr>
            <w:r>
              <w:rPr/>
              <w:t>Basic and Diluted</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13,822,990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13,145,834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13,410,287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13,127,825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accompanying notes to the condensed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1" w:name="T1013"/>
      <w:bookmarkEnd w:id="41"/>
      <w:r>
        <w:rPr>
          <w:rFonts w:ascii="Times New Roman PS Std;serif" w:hAnsi="Times New Roman PS Std;serif"/>
          <w:b/>
          <w:i w:val="false"/>
          <w:caps w:val="false"/>
          <w:smallCaps w:val="false"/>
          <w:sz w:val="20"/>
        </w:rPr>
        <w:t>Spectral AI, Inc.</w:t>
        <w:br/>
        <w:t>Unaudited Condensed Consolidated Statements of Changes in Stockholders’ Equity</w:t>
        <w:br/>
        <w:t>(In thousands, except share data)</w:t>
      </w:r>
    </w:p>
    <w:tbl>
      <w:tblPr>
        <w:tblW w:w="10205" w:type="dxa"/>
        <w:jc w:val="left"/>
        <w:tblInd w:w="0" w:type="dxa"/>
        <w:tblLayout w:type="fixed"/>
        <w:tblCellMar>
          <w:top w:w="0" w:type="dxa"/>
          <w:left w:w="0" w:type="dxa"/>
          <w:bottom w:w="0" w:type="dxa"/>
          <w:right w:w="0" w:type="dxa"/>
        </w:tblCellMar>
      </w:tblPr>
      <w:tblGrid>
        <w:gridCol w:w="2790"/>
        <w:gridCol w:w="146"/>
        <w:gridCol w:w="1381"/>
        <w:gridCol w:w="181"/>
        <w:gridCol w:w="146"/>
        <w:gridCol w:w="226"/>
        <w:gridCol w:w="541"/>
        <w:gridCol w:w="181"/>
        <w:gridCol w:w="146"/>
        <w:gridCol w:w="226"/>
        <w:gridCol w:w="766"/>
        <w:gridCol w:w="181"/>
        <w:gridCol w:w="146"/>
        <w:gridCol w:w="260"/>
        <w:gridCol w:w="971"/>
        <w:gridCol w:w="210"/>
        <w:gridCol w:w="146"/>
        <w:gridCol w:w="272"/>
        <w:gridCol w:w="1015"/>
        <w:gridCol w:w="274"/>
      </w:tblGrid>
      <w:tr>
        <w:trPr/>
        <w:tc>
          <w:tcPr>
            <w:tcW w:w="279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Common Stock</w:t>
            </w:r>
          </w:p>
        </w:tc>
        <w:tc>
          <w:tcPr>
            <w:tcW w:w="146" w:type="dxa"/>
            <w:tcBorders/>
            <w:vAlign w:val="bottom"/>
          </w:tcPr>
          <w:p>
            <w:pPr>
              <w:pStyle w:val="TableContents"/>
              <w:bidi w:val="0"/>
              <w:spacing w:before="0" w:after="283"/>
              <w:jc w:val="left"/>
              <w:rPr/>
            </w:pPr>
            <w:r>
              <w:rPr/>
              <w:t> </w:t>
            </w:r>
          </w:p>
        </w:tc>
        <w:tc>
          <w:tcPr>
            <w:tcW w:w="117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156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Stockholders’</w:t>
              <w:br/>
              <w:t>Equity</w:t>
            </w:r>
          </w:p>
        </w:tc>
      </w:tr>
      <w:tr>
        <w:trPr/>
        <w:tc>
          <w:tcPr>
            <w:tcW w:w="27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17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61" w:type="dxa"/>
            <w:gridSpan w:val="3"/>
            <w:vMerge w:val="continue"/>
            <w:tcBorders/>
            <w:vAlign w:val="bottom"/>
          </w:tcPr>
          <w:p>
            <w:pPr>
              <w:pStyle w:val="Normal"/>
              <w:bidi w:val="0"/>
              <w:jc w:val="left"/>
              <w:rPr/>
            </w:pPr>
            <w:r>
              <w:rPr/>
            </w:r>
          </w:p>
        </w:tc>
      </w:tr>
      <w:tr>
        <w:trPr/>
        <w:tc>
          <w:tcPr>
            <w:tcW w:w="27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2022</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135,409,564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23,795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(11,934</w:t>
            </w:r>
          </w:p>
        </w:tc>
        <w:tc>
          <w:tcPr>
            <w:tcW w:w="2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11,996</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Retroactive application of recapitalization</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(122,282,092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bidi w:val="0"/>
              <w:spacing w:before="0" w:after="283"/>
              <w:jc w:val="left"/>
              <w:rPr/>
            </w:pPr>
            <w:r>
              <w:rPr/>
              <w:t>—</w:t>
            </w:r>
          </w:p>
        </w:tc>
        <w:tc>
          <w:tcPr>
            <w:tcW w:w="2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bidi w:val="0"/>
              <w:spacing w:before="0" w:after="283"/>
              <w:jc w:val="left"/>
              <w:rPr/>
            </w:pPr>
            <w:r>
              <w:rPr/>
              <w:t>—</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2022, after effect of Business Combination</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13,127,472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23,929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(11,934</w:t>
            </w:r>
          </w:p>
        </w:tc>
        <w:tc>
          <w:tcPr>
            <w:tcW w:w="2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11,996</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54,558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bidi w:val="0"/>
              <w:spacing w:before="0" w:after="283"/>
              <w:jc w:val="left"/>
              <w:rPr/>
            </w:pPr>
            <w:r>
              <w:rPr/>
              <w:t>—</w:t>
            </w:r>
          </w:p>
        </w:tc>
        <w:tc>
          <w:tcPr>
            <w:tcW w:w="2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 exercises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shd w:fill="CCEEFF" w:val="clear"/>
            <w:vAlign w:val="bottom"/>
          </w:tcPr>
          <w:p>
            <w:pPr>
              <w:pStyle w:val="TableContents"/>
              <w:bidi w:val="0"/>
              <w:spacing w:before="0" w:after="283"/>
              <w:jc w:val="left"/>
              <w:rPr/>
            </w:pPr>
            <w:r>
              <w:rPr/>
              <w:t>—</w:t>
            </w:r>
          </w:p>
        </w:tc>
        <w:tc>
          <w:tcPr>
            <w:tcW w:w="2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bidi w:val="0"/>
              <w:spacing w:before="0" w:after="283"/>
              <w:jc w:val="left"/>
              <w:rPr/>
            </w:pPr>
            <w:r>
              <w:rPr/>
              <w:t>—</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(3,609</w:t>
            </w:r>
          </w:p>
        </w:tc>
        <w:tc>
          <w:tcPr>
            <w:tcW w:w="2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(3,609</w:t>
            </w:r>
          </w:p>
        </w:tc>
        <w:tc>
          <w:tcPr>
            <w:tcW w:w="27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March 31, 2023</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13,192,159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24,229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(15,543</w:t>
            </w:r>
          </w:p>
        </w:tc>
        <w:tc>
          <w:tcPr>
            <w:tcW w:w="2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8,687</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bidi w:val="0"/>
              <w:spacing w:before="0" w:after="283"/>
              <w:jc w:val="left"/>
              <w:rPr/>
            </w:pPr>
            <w:r>
              <w:rPr/>
              <w:t>—</w:t>
            </w:r>
          </w:p>
        </w:tc>
        <w:tc>
          <w:tcPr>
            <w:tcW w:w="2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 exercises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shd w:fill="CCEEFF" w:val="clear"/>
            <w:vAlign w:val="bottom"/>
          </w:tcPr>
          <w:p>
            <w:pPr>
              <w:pStyle w:val="TableContents"/>
              <w:bidi w:val="0"/>
              <w:spacing w:before="0" w:after="283"/>
              <w:jc w:val="left"/>
              <w:rPr/>
            </w:pPr>
            <w:r>
              <w:rPr/>
              <w:t>—</w:t>
            </w:r>
          </w:p>
        </w:tc>
        <w:tc>
          <w:tcPr>
            <w:tcW w:w="2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(3,070</w:t>
            </w:r>
          </w:p>
        </w:tc>
        <w:tc>
          <w:tcPr>
            <w:tcW w:w="2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(3,070</w:t>
            </w:r>
          </w:p>
        </w:tc>
        <w:tc>
          <w:tcPr>
            <w:tcW w:w="27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June 30, 2023</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13,210,102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24,631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(18,613</w:t>
            </w:r>
          </w:p>
        </w:tc>
        <w:tc>
          <w:tcPr>
            <w:tcW w:w="2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6,019</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common stock upon Business Combination</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1,160,485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bidi w:val="0"/>
              <w:spacing w:before="0" w:after="283"/>
              <w:jc w:val="left"/>
              <w:rPr/>
            </w:pPr>
            <w:r>
              <w:rPr/>
              <w:t>—</w:t>
            </w:r>
          </w:p>
        </w:tc>
        <w:tc>
          <w:tcPr>
            <w:tcW w:w="2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(2,374</w:t>
            </w:r>
          </w:p>
        </w:tc>
        <w:tc>
          <w:tcPr>
            <w:tcW w:w="27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common stock to settle accounts payable</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33,333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shd w:fill="CCEEFF" w:val="clear"/>
            <w:vAlign w:val="bottom"/>
          </w:tcPr>
          <w:p>
            <w:pPr>
              <w:pStyle w:val="TableContents"/>
              <w:bidi w:val="0"/>
              <w:spacing w:before="0" w:after="283"/>
              <w:jc w:val="left"/>
              <w:rPr/>
            </w:pPr>
            <w:r>
              <w:rPr/>
              <w:t>—</w:t>
            </w:r>
          </w:p>
        </w:tc>
        <w:tc>
          <w:tcPr>
            <w:tcW w:w="2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shares for transaction costs</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bidi w:val="0"/>
              <w:spacing w:before="0" w:after="283"/>
              <w:jc w:val="left"/>
              <w:rPr/>
            </w:pPr>
            <w:r>
              <w:rPr/>
              <w:t>—</w:t>
            </w:r>
          </w:p>
        </w:tc>
        <w:tc>
          <w:tcPr>
            <w:tcW w:w="2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Commitment to issue shares for </w:t>
              <w:br/>
              <w:t>transaction costs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shd w:fill="CCEEFF" w:val="clear"/>
            <w:vAlign w:val="bottom"/>
          </w:tcPr>
          <w:p>
            <w:pPr>
              <w:pStyle w:val="TableContents"/>
              <w:bidi w:val="0"/>
              <w:spacing w:before="0" w:after="283"/>
              <w:jc w:val="left"/>
              <w:rPr/>
            </w:pPr>
            <w:r>
              <w:rPr/>
              <w:t>—</w:t>
            </w:r>
          </w:p>
        </w:tc>
        <w:tc>
          <w:tcPr>
            <w:tcW w:w="2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placement equity issuance</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744,667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bidi w:val="0"/>
              <w:spacing w:before="0" w:after="283"/>
              <w:jc w:val="left"/>
              <w:rPr/>
            </w:pPr>
            <w:r>
              <w:rPr/>
              <w:t>—</w:t>
            </w:r>
          </w:p>
        </w:tc>
        <w:tc>
          <w:tcPr>
            <w:tcW w:w="2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3,351</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shd w:fill="CCEEFF" w:val="clear"/>
            <w:vAlign w:val="bottom"/>
          </w:tcPr>
          <w:p>
            <w:pPr>
              <w:pStyle w:val="TableContents"/>
              <w:bidi w:val="0"/>
              <w:spacing w:before="0" w:after="283"/>
              <w:jc w:val="left"/>
              <w:rPr/>
            </w:pPr>
            <w:r>
              <w:rPr/>
              <w:t>—</w:t>
            </w:r>
          </w:p>
        </w:tc>
        <w:tc>
          <w:tcPr>
            <w:tcW w:w="2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 exercises</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139,681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bidi w:val="0"/>
              <w:spacing w:before="0" w:after="283"/>
              <w:jc w:val="left"/>
              <w:rPr/>
            </w:pPr>
            <w:r>
              <w:rPr/>
              <w:t>—</w:t>
            </w:r>
          </w:p>
        </w:tc>
        <w:tc>
          <w:tcPr>
            <w:tcW w:w="2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79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(10,629</w:t>
            </w:r>
          </w:p>
        </w:tc>
        <w:tc>
          <w:tcPr>
            <w:tcW w:w="2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(10,629</w:t>
            </w:r>
          </w:p>
        </w:tc>
        <w:tc>
          <w:tcPr>
            <w:tcW w:w="27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9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September 30, 2023</w:t>
            </w:r>
          </w:p>
        </w:tc>
        <w:tc>
          <w:tcPr>
            <w:tcW w:w="146" w:type="dxa"/>
            <w:tcBorders/>
            <w:vAlign w:val="bottom"/>
          </w:tcPr>
          <w:p>
            <w:pPr>
              <w:pStyle w:val="TableContents"/>
              <w:bidi w:val="0"/>
              <w:spacing w:before="0" w:after="283"/>
              <w:jc w:val="left"/>
              <w:rPr/>
            </w:pPr>
            <w:r>
              <w:rPr/>
              <w:t> </w:t>
            </w:r>
          </w:p>
        </w:tc>
        <w:tc>
          <w:tcPr>
            <w:tcW w:w="13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15,688,268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30,696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(29,242</w:t>
            </w:r>
          </w:p>
        </w:tc>
        <w:tc>
          <w:tcPr>
            <w:tcW w:w="2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7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807"/>
        <w:gridCol w:w="146"/>
        <w:gridCol w:w="1381"/>
        <w:gridCol w:w="181"/>
        <w:gridCol w:w="146"/>
        <w:gridCol w:w="226"/>
        <w:gridCol w:w="541"/>
        <w:gridCol w:w="181"/>
        <w:gridCol w:w="146"/>
        <w:gridCol w:w="263"/>
        <w:gridCol w:w="893"/>
        <w:gridCol w:w="146"/>
        <w:gridCol w:w="260"/>
        <w:gridCol w:w="971"/>
        <w:gridCol w:w="210"/>
        <w:gridCol w:w="146"/>
        <w:gridCol w:w="289"/>
        <w:gridCol w:w="981"/>
        <w:gridCol w:w="291"/>
      </w:tblGrid>
      <w:tr>
        <w:trPr/>
        <w:tc>
          <w:tcPr>
            <w:tcW w:w="280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Common Stock</w:t>
            </w:r>
          </w:p>
        </w:tc>
        <w:tc>
          <w:tcPr>
            <w:tcW w:w="146" w:type="dxa"/>
            <w:tcBorders/>
            <w:vAlign w:val="bottom"/>
          </w:tcPr>
          <w:p>
            <w:pPr>
              <w:pStyle w:val="TableContents"/>
              <w:bidi w:val="0"/>
              <w:spacing w:before="0" w:after="283"/>
              <w:jc w:val="left"/>
              <w:rPr/>
            </w:pPr>
            <w:r>
              <w:rPr/>
              <w:t> </w:t>
            </w:r>
          </w:p>
        </w:tc>
        <w:tc>
          <w:tcPr>
            <w:tcW w:w="115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156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Stockholders’</w:t>
              <w:br/>
              <w:t>Equity</w:t>
            </w:r>
          </w:p>
        </w:tc>
      </w:tr>
      <w:tr>
        <w:trPr/>
        <w:tc>
          <w:tcPr>
            <w:tcW w:w="28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15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61" w:type="dxa"/>
            <w:gridSpan w:val="3"/>
            <w:vMerge w:val="continue"/>
            <w:tcBorders/>
            <w:vAlign w:val="bottom"/>
          </w:tcPr>
          <w:p>
            <w:pPr>
              <w:pStyle w:val="Normal"/>
              <w:bidi w:val="0"/>
              <w:jc w:val="left"/>
              <w:rPr/>
            </w:pPr>
            <w:r>
              <w:rPr/>
            </w:r>
          </w:p>
        </w:tc>
      </w:tr>
      <w:tr>
        <w:trPr/>
        <w:tc>
          <w:tcPr>
            <w:tcW w:w="28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2021</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135,034,564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22,640</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(9,022</w:t>
            </w:r>
          </w:p>
        </w:tc>
        <w:tc>
          <w:tcPr>
            <w:tcW w:w="2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13,753</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Retroactive application of recapitalization</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(121,937,160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6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1" w:type="dxa"/>
            <w:tcBorders/>
            <w:vAlign w:val="bottom"/>
          </w:tcPr>
          <w:p>
            <w:pPr>
              <w:pStyle w:val="TableContents"/>
              <w:bidi w:val="0"/>
              <w:spacing w:before="0" w:after="283"/>
              <w:jc w:val="left"/>
              <w:rPr/>
            </w:pPr>
            <w:r>
              <w:rPr/>
              <w:t>—</w:t>
            </w:r>
          </w:p>
        </w:tc>
        <w:tc>
          <w:tcPr>
            <w:tcW w:w="2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1" w:type="dxa"/>
            <w:tcBorders/>
            <w:vAlign w:val="bottom"/>
          </w:tcPr>
          <w:p>
            <w:pPr>
              <w:pStyle w:val="TableContents"/>
              <w:bidi w:val="0"/>
              <w:spacing w:before="0" w:after="283"/>
              <w:jc w:val="left"/>
              <w:rPr/>
            </w:pPr>
            <w:r>
              <w:rPr/>
              <w:t>—</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2021, after effect of Business Combination</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13,097,404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22,774</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(9,022</w:t>
            </w:r>
          </w:p>
        </w:tc>
        <w:tc>
          <w:tcPr>
            <w:tcW w:w="2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13,753</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18,186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bidi w:val="0"/>
              <w:spacing w:before="0" w:after="283"/>
              <w:jc w:val="left"/>
              <w:rPr/>
            </w:pPr>
            <w:r>
              <w:rPr/>
              <w:t>—</w:t>
            </w:r>
          </w:p>
        </w:tc>
        <w:tc>
          <w:tcPr>
            <w:tcW w:w="2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3" w:type="dxa"/>
            <w:tcBorders/>
            <w:shd w:fill="CCEEFF" w:val="clear"/>
            <w:vAlign w:val="bottom"/>
          </w:tcPr>
          <w:p>
            <w:pPr>
              <w:pStyle w:val="TableContents"/>
              <w:bidi w:val="0"/>
              <w:spacing w:before="0" w:after="283"/>
              <w:jc w:val="left"/>
              <w:rPr/>
            </w:pPr>
            <w:r>
              <w:rPr/>
              <w:t>—</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w:t>
            </w:r>
          </w:p>
        </w:tc>
        <w:tc>
          <w:tcPr>
            <w:tcW w:w="2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w:t>
            </w:r>
          </w:p>
        </w:tc>
        <w:tc>
          <w:tcPr>
            <w:tcW w:w="29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March 31, 2022</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13,115,590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23,107</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(9,550</w:t>
            </w:r>
          </w:p>
        </w:tc>
        <w:tc>
          <w:tcPr>
            <w:tcW w:w="2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13,558</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18,186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shd w:fill="CCEEFF" w:val="clear"/>
            <w:vAlign w:val="bottom"/>
          </w:tcPr>
          <w:p>
            <w:pPr>
              <w:pStyle w:val="TableContents"/>
              <w:bidi w:val="0"/>
              <w:spacing w:before="0" w:after="283"/>
              <w:jc w:val="left"/>
              <w:rPr/>
            </w:pPr>
            <w:r>
              <w:rPr/>
              <w:t>—</w:t>
            </w:r>
          </w:p>
        </w:tc>
        <w:tc>
          <w:tcPr>
            <w:tcW w:w="2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3" w:type="dxa"/>
            <w:tcBorders/>
            <w:vAlign w:val="bottom"/>
          </w:tcPr>
          <w:p>
            <w:pPr>
              <w:pStyle w:val="TableContents"/>
              <w:bidi w:val="0"/>
              <w:spacing w:before="0" w:after="283"/>
              <w:jc w:val="left"/>
              <w:rPr/>
            </w:pPr>
            <w:r>
              <w:rPr/>
              <w:t>—</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w:t>
            </w:r>
          </w:p>
        </w:tc>
        <w:tc>
          <w:tcPr>
            <w:tcW w:w="2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w:t>
            </w:r>
          </w:p>
        </w:tc>
        <w:tc>
          <w:tcPr>
            <w:tcW w:w="29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June 30, 2022</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13,133,776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23,401</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(9,815</w:t>
            </w:r>
          </w:p>
        </w:tc>
        <w:tc>
          <w:tcPr>
            <w:tcW w:w="2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13,587</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146" w:type="dxa"/>
            <w:tcBorders/>
            <w:vAlign w:val="bottom"/>
          </w:tcPr>
          <w:p>
            <w:pPr>
              <w:pStyle w:val="TableContents"/>
              <w:bidi w:val="0"/>
              <w:spacing w:before="0" w:after="283"/>
              <w:jc w:val="left"/>
              <w:rPr/>
            </w:pPr>
            <w:r>
              <w:rPr/>
              <w:t> </w:t>
            </w:r>
          </w:p>
        </w:tc>
        <w:tc>
          <w:tcPr>
            <w:tcW w:w="2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vAlign w:val="bottom"/>
          </w:tcPr>
          <w:p>
            <w:pPr>
              <w:pStyle w:val="TableContents"/>
              <w:bidi w:val="0"/>
              <w:spacing w:before="0" w:after="283"/>
              <w:jc w:val="left"/>
              <w:rPr/>
            </w:pPr>
            <w:r>
              <w:rPr/>
              <w:t>—</w:t>
            </w:r>
          </w:p>
        </w:tc>
        <w:tc>
          <w:tcPr>
            <w:tcW w:w="2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shd w:fill="CCEEFF" w:val="clear"/>
            <w:vAlign w:val="bottom"/>
          </w:tcPr>
          <w:p>
            <w:pPr>
              <w:pStyle w:val="TableContents"/>
              <w:bidi w:val="0"/>
              <w:spacing w:before="0" w:after="283"/>
              <w:jc w:val="left"/>
              <w:rPr/>
            </w:pPr>
            <w:r>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3" w:type="dxa"/>
            <w:tcBorders/>
            <w:shd w:fill="CCEEFF" w:val="clear"/>
            <w:vAlign w:val="bottom"/>
          </w:tcPr>
          <w:p>
            <w:pPr>
              <w:pStyle w:val="TableContents"/>
              <w:bidi w:val="0"/>
              <w:spacing w:before="0" w:after="283"/>
              <w:jc w:val="left"/>
              <w:rPr/>
            </w:pPr>
            <w:r>
              <w:rPr/>
              <w:t>—</w:t>
            </w:r>
          </w:p>
        </w:tc>
        <w:tc>
          <w:tcPr>
            <w:tcW w:w="14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w:t>
            </w:r>
          </w:p>
        </w:tc>
        <w:tc>
          <w:tcPr>
            <w:tcW w:w="2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w:t>
            </w:r>
          </w:p>
        </w:tc>
        <w:tc>
          <w:tcPr>
            <w:tcW w:w="29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September 30, 2022</w:t>
            </w:r>
          </w:p>
        </w:tc>
        <w:tc>
          <w:tcPr>
            <w:tcW w:w="146" w:type="dxa"/>
            <w:tcBorders/>
            <w:vAlign w:val="bottom"/>
          </w:tcPr>
          <w:p>
            <w:pPr>
              <w:pStyle w:val="TableContents"/>
              <w:bidi w:val="0"/>
              <w:spacing w:before="0" w:after="283"/>
              <w:jc w:val="left"/>
              <w:rPr/>
            </w:pPr>
            <w:r>
              <w:rPr/>
              <w:t> </w:t>
            </w:r>
          </w:p>
        </w:tc>
        <w:tc>
          <w:tcPr>
            <w:tcW w:w="13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13,145,900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6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23,648</w:t>
            </w:r>
          </w:p>
        </w:tc>
        <w:tc>
          <w:tcPr>
            <w:tcW w:w="146" w:type="dxa"/>
            <w:tcBorders/>
            <w:vAlign w:val="bottom"/>
          </w:tcPr>
          <w:p>
            <w:pPr>
              <w:pStyle w:val="TableContents"/>
              <w:bidi w:val="0"/>
              <w:spacing w:before="0" w:after="283"/>
              <w:jc w:val="left"/>
              <w:rPr/>
            </w:pPr>
            <w:r>
              <w:rPr/>
              <w:t> </w:t>
            </w:r>
          </w:p>
        </w:tc>
        <w:tc>
          <w:tcPr>
            <w:tcW w:w="26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(10,195</w:t>
            </w:r>
          </w:p>
        </w:tc>
        <w:tc>
          <w:tcPr>
            <w:tcW w:w="2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13,454</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accompanying notes to the condensed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2" w:name="T1014"/>
      <w:bookmarkEnd w:id="42"/>
      <w:r>
        <w:rPr>
          <w:rFonts w:ascii="Times New Roman PS Std;serif" w:hAnsi="Times New Roman PS Std;serif"/>
          <w:b/>
          <w:i w:val="false"/>
          <w:caps w:val="false"/>
          <w:smallCaps w:val="false"/>
          <w:sz w:val="20"/>
        </w:rPr>
        <w:t>Spectral AI, Inc.</w:t>
        <w:br/>
        <w:t>Unaudited Condensed Consolidated Statements of Cash Flows</w:t>
        <w:br/>
        <w:t>(in thousands)</w:t>
      </w:r>
    </w:p>
    <w:tbl>
      <w:tblPr>
        <w:tblW w:w="10205" w:type="dxa"/>
        <w:jc w:val="left"/>
        <w:tblInd w:w="0" w:type="dxa"/>
        <w:tblLayout w:type="fixed"/>
        <w:tblCellMar>
          <w:top w:w="0" w:type="dxa"/>
          <w:left w:w="0" w:type="dxa"/>
          <w:bottom w:w="0" w:type="dxa"/>
          <w:right w:w="0" w:type="dxa"/>
        </w:tblCellMar>
      </w:tblPr>
      <w:tblGrid>
        <w:gridCol w:w="7447"/>
        <w:gridCol w:w="146"/>
        <w:gridCol w:w="226"/>
        <w:gridCol w:w="841"/>
        <w:gridCol w:w="181"/>
        <w:gridCol w:w="146"/>
        <w:gridCol w:w="226"/>
        <w:gridCol w:w="766"/>
        <w:gridCol w:w="226"/>
      </w:tblGrid>
      <w:tr>
        <w:trPr/>
        <w:tc>
          <w:tcPr>
            <w:tcW w:w="744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1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Ended </w:t>
              <w:br/>
              <w:t>September 30,</w:t>
            </w:r>
          </w:p>
        </w:tc>
      </w:tr>
      <w:tr>
        <w:trPr/>
        <w:tc>
          <w:tcPr>
            <w:tcW w:w="74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7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4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4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right-of-use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shares for transaction costs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 to issue shares for transaction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Unbilled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(10,865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4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common stock for Equity Raise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received in Business Combination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for notes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 exercises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14,174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cash flow information: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4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taxes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operating and financing activities disclosure: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4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Right-of-use assets and related lease liabilities upon adoption of ASC 842</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bidi w:val="0"/>
              <w:spacing w:before="0" w:after="283"/>
              <w:jc w:val="left"/>
              <w:rPr/>
            </w:pPr>
            <w:r>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Right-of-use assets and related lease liabilities upon lease amendment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bidi w:val="0"/>
              <w:spacing w:before="0" w:after="283"/>
              <w:jc w:val="left"/>
              <w:rPr/>
            </w:pPr>
            <w:r>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common stock for net liabilities upon Business Combination</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asset acquired, net of cancellation, for debt and accounts payable</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4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common stock to settle accounts payable</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bidi w:val="0"/>
              <w:spacing w:before="0" w:after="283"/>
              <w:jc w:val="left"/>
              <w:rPr/>
            </w:pPr>
            <w:r>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accompanying notes to the condensed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3" w:name="T1015"/>
      <w:bookmarkEnd w:id="43"/>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NATURE OF BUSINESS AND LIQUIDITY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Spectral AI, Inc., a Delaware corporation formerly known as Rosecliff Acquisition Corp I (“Spectral AI” or the “Company”) was formed as a blank check company on November 17, 2020. The Company was formed for the purpose of effecting a merger, capital stock exchange, asset acquisition, stock purchase, reorganization or similar business combination with one or more businesses.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11, 2023, the Company consummated a business combination (the “Business Combination”), pursuant to the business combination agreement dated April 11, 2023 (the “Business Combination Agreement”) by and among the Company, Ghost Merger Sub I, a Delaware Corporation, Ghost Merger Sub II, a Delaware corporation and Spectral MD Holdings, Ltd., a Delaware corporation incorporated on March 9, 2009 and headquartered in Dallas, Texas (“Legacy Spectral”). Upon closing of the Business Combination (the “Closing”), in sequential order: (a) Ghost Merger Sub I merged with and into the Legacy Spectral, with Legacy Spectral continuing as the surviving company as a wholly owned subsidiary of the Company (the “Spectral Merger”) and then, (b) Legacy Spectral merged with and into Ghost Merger Sub II (renamed Spectral MD Holdings LLC) (the “SPAC Merger”, together with the Spectral Merger (the “Business Combination”)), with Ghost Merger Sub II surviving the SPAC Merger as a direct wholly-owned subsidiary of the Company. See Note 3. Upon the Closing, the Company changed its name from Rosecliff Acquisition Corp I to Spectral AI,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conjunction with the Business Combination, the Company cancelled the redeemable warrants that it issued to Rosecliff Acquisition Sponsor I LLC, a Delaware limited liability company (the “Sponsor”), in a private placement (the “Private Warrants”) in connection with the Company’s initial public offering on February 17, 2021 (the “Initial Public Offering”) at Closing, but the 8,433,333 redeemable warrants issued to the public in the Initial Public Offering (the “Public Warrants”) remain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Business Combination, Rosecliff had 280,485 shares of Class A common stock, par value $0.0001 per share, issued and outstanding and held by public shareholders (the “Public Shares”) and 6,325,000 shares of Class B common stock, par value $0.0001 per share, issued and outstanding and held by the Sponsor (the “Sponsor Shares”). Upon the Closing, 5,445,000 of the Sponsor Shares were forfeited, in accordance with a letter agreement with the Sponsor, and the remaining 880,000 Sponsor Shares and 280,485 Public Shares, no longer designated Class A and Class B, were included in shares of the Company’s common stock, par value $0.0001 per share (the “Company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Business Combination, Legacy Spectral’s shares of common stock, par value $0.001 per share (“Legacy Spectral Common Stock”) were listed on the AIM market on the London Stock Exchange (delisted on September 7, 2023). In September 2023, prior to the Closing, Legacy Spectral issued 7,679,198 shares of Legacy Spectral Common Stock to certain investors in a private placement, in exchange for $3.4 million (the “Equity Raise”).Upon the Closing, all of Legacy Spectral’s issued and outstanding 145,380,871 shares of Legacy Spectral Common Stock, including the shares from the Equity Raise, were exchanged for 14,094,450 shares of Company Common Stock at an exchange ratio of 10.31 (the “Exchange Ratio”), meaning that the Company issued one share of Company Common Stock in exchange for 10.31 shares of Legacy Spectral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12, 2023, the Company began trading the Company Common Stock and the Public Warrants on the NASDAQ Capital Market (“NASDAQ”) under the symbols “MDAI” and “MDAIW”, respectively. Prior to the Business Combination, the Company’s shares of Company Common Stock and Public Warrants were listed on the NASDAQ under the symbols “RCLF” and “RCLFW”,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Nature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Spectral AI is devoting substantially all of its efforts towards research and development of its DeepView® Wound Imaging System, currently focused on burn wounds and diabetic foot ulcer (“DFU”) indications, specifically engineered to allow physicians to make a more accurate, timely and informed decision for treatment options. The Company has not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ORGANIZATION, NATURE OF BUSINESS AND LIQUIDITY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Medical Technology Enterprise Consortium (“MTEC”).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2023, the Company executed its third contract with BARDA for a multi-year Project BioShield (“PBS”) contract, valued at up to approximately $149 million. This multi-year contract includes an initial award of nearly $55 million to support the clinical validation and FDA clearance of DeepView® for commercial marketing and distribution purposes. The Company is also completing the second contract with BARDA, referred to as BARDA Burn II, which was signed in July 2019 and is due to be completed in July 2024. Under this contract, the Company expects to further the DeepView System design, develop the AI algorithm, and take the necessary steps to obtain FDA approval for its DeepView GEN 3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2023, the Company received a $4.0 million grant from MTEC for a project that is expected to be completed by April 2025 (the “MTEC Agreement”). The MTEC project is for the development of a handheld device for the DeepView System which is to be used to support military battlefield burn evaluation. The project has three phases, beginning with planning, design and testing, followed by development, design modification and buildout of the handheld device, and then the manufacturing of the handheld device.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operates in one segment.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2023 and December 31, 2022, the Company had approximately $7.3 million and $14.2 million, respectively, in cash, and an accumulated deficit of $29.2 million and $11.9 million, respectively. The Company has historically funded its operations through the issuance of notes and the sale of preferred stock and common stock. Together with the new PBS BARDA Contract, executed in September 2023, for a total value of up to $149 million, the Company’s total potential support from BARDA is nearly $250 million if all future options are executed. The base phase of the PBS BARDA Contract, valued at $55 million, was exercised concurrently with the contract award in September 2023. To date, for the 2013 and 2019 BARDA contracts, the Company has committed funding of $101 million of which the Company has received $99 million. In April, 2023, we received a $4.0 million grant under the MTEC Agreement. See Research and Development Revenue below. With the PBS BARDA Contract and the MTEC Agreement, the Company believes it will have sufficient working capital to fund operations for at least one year beyond the release date of the condensed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condensed consolidated financial statements have been prepared in conformity with U.S. generally accepted accounting principles (“GAAP”) as determined by the Financial Accounting Standards Board (“FASB”) Accounting Standards Codification (“ASC”).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was accounted for as a reverse recapitalization in accordance with GAAP. Legacy Spectral was determined as the accounting acquirer and the Company as the acquired company for financial reporting purposes. Accordingly, for accounting purposes, the Business Combination is treated as the equivalent of a capital transaction in which Legacy Spectral issued stock for the net assets of the Company. Upon the Closing, the net assets of the Company are stated at fair value, with no goodwill or other intangible assets recorded. See Note 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Spectral was determined to be the accounting acquiror based on evaluation of the following facts and circumstances: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Legacy Spectral’s former shareholders have a majority of the voting power of Spectral AI;</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Legacy Spectral’s senior management comprises all of the senior management of Spectral AI;</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Legacy Spectral selected five of the six directors for the Board of Directors of Spectral AI;</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Legacy Spectral’s relative size of assets and operations compared to Rosecliff;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Legacy Spectral’s operations comprise the ongoing operations of Spectral AI.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historical financial information presented in the unaudited condensed consolidated financial statements represents the accounts of Legacy Spectral at their historical values as if Legacy Spectral is the predecessor to the Company. The unaudited condensed consolidated financial statements following the Closing reflect the results of the combined entity’s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issued and outstanding shares of Legacy Spectral Common Stock and warrants, stock options, restricted stock units (“RSUs”) and restricted stock awards (“RSAs”) of Legacy Spectral and the per share amounts contained in the unaudited condensed consolidated financial statements for the periods presented prior to the Closing have been retroactively restated to reflect the Exchange Ratio (as defined in Note 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Interim Condensed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condensed consolidated balance sheet as of September 30, 2023, the condensed consolidated statements of operations and stockholders’ equity for the three and nine months ended September 30, 2023 and 2022, and the condensed consolidated statements of cash flows for the nine months ended September 30, 2023 and 2022 are unaudited. The interim condensed consolidated financial statements have been prepared on the same basis as the audited annual consolidated financial statements and, in management’s opinion, include all adjustments consisting of normal recurring adjustments necessary for the fair statement of the Company’s financial position as of September 30, 2023 and its results of operations and cash flows for the three and nine months ended September 30, 2023 and 2022. The results of operations for the three and nine months ended September 30, 2023 and 2022 are not necessarily indicative of the results to be expected for the full fiscal year or any other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interim condensed consolidated financial statements should be read in conjunction with Legacy Spectral’s annual consolidated financial statements for the year ended December 31, 2022 included in the Company’s Form S-4/A filed with the Securities and Exchange Commission (“SEC”) on August 11, 2023.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Principles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condensed consolidated financial statements include the accounts of the Company and its wholly owned subsidiaries, Spectral MD Holdings LLC, Spectral MD Inc. and Spectral MD UK Ltd. (“Spectral MD UK”). Significant inter-company transactions and balances have been eliminated in consolidation.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preparation of these condensed consolidated financial statements in conformity with GAAP requires management to make estimates and assumptions that affect the amounts reported in the condensed consolidated financial statements and accompanying notes. The Company bases its estimates and judgments on historical experience and on various other assumptions that it believes are reasonable under the circumstances. The amounts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assets and liabilities reported in the Company’s balance sheets and the amounts of expenses reported for each of the periods presented are affected by estimates and assumptions, which are used for, but not limited to, revenue recognition, warrant liabilities, stock-based compensation expense, stock issued for transaction costs, the net realizable value of inventory, right-of-use assets and income tax valuation allowances. Actual results could differ from these estimates.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highly liquid investments with an original maturity of three months or less when purchased to be cash equivalents. All cash is held in US financial institutions.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Accounts Receivable, Net and Unbilled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represent amounts due from US government agencies pursuant to research and development contracts associated with the Company’s DeepView® Wound Imaging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the collectability of its receivables based on a variety of factors, including the length of time the receivables are past due, the financial health of its customers and historical experience. Based upon the review of these factors, the Company recorded no allowance for doubtful accounts as of September 30, 2023 and December 31,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records unbilled revenue when revenue is recognized prior to billing customers.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Concentrations of 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which potentially subject the Company to credit risk consist principally of cash and accounts receivable. Primarily all cash is held in US financial institutions which, at times, exceed federally insured limits. The Company has not recognized any losses from credit risks on such accounts. The Company believes it is not exposed to significant credit risk on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credit risk is related to the Company’s concentration of receivables. As of September 30, 2023 and December 31, 2022, receivables were concentrated from one customer (which is a US. government agency) representing 87% and 96% of total net receivables, respectively. No allowance for doubtful accounts were recorded as of September 30, 2023 and December 31,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customer (which is a U.S. government agency) accounted for 89% and 94% for the three and nine months ended September 30, 2023, respectively, and 98% for each of the three and nine months ended September 30, 2022 of the recognized research and development revenue.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Inventory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 is comprised of finished goods, purchased from a third-party manufacturer, and is stated at the lower of cost (average cost) or net realizable value. For the three and nine months ended September 30, 2023, the Company did not have write-downs for obsolete inventory.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three-level fair value hierarchy that prioritizes the inputs used to measure fair value. This hierarchy maximizes the use of observable inputs and minimizes the use of unobservable inputs. The three levels of inputs used to measure fair value are as follows:</w:t>
      </w:r>
    </w:p>
    <w:tbl>
      <w:tblPr>
        <w:tblW w:w="10205" w:type="dxa"/>
        <w:jc w:val="left"/>
        <w:tblInd w:w="0" w:type="dxa"/>
        <w:tblLayout w:type="fixed"/>
        <w:tblCellMar>
          <w:top w:w="0" w:type="dxa"/>
          <w:left w:w="0" w:type="dxa"/>
          <w:bottom w:w="0" w:type="dxa"/>
          <w:right w:w="0" w:type="dxa"/>
        </w:tblCellMar>
      </w:tblPr>
      <w:tblGrid>
        <w:gridCol w:w="161"/>
        <w:gridCol w:w="146"/>
        <w:gridCol w:w="811"/>
        <w:gridCol w:w="146"/>
        <w:gridCol w:w="346"/>
        <w:gridCol w:w="146"/>
        <w:gridCol w:w="8449"/>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1</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44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Unadjusted quoted prices in active markets that are assessable at the measurement date for identical, unrestricted assets or liabilities.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2</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44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Quoted prices in markets that are not active, or inputs that are observable, either directly or indirectly, for substantially the full term of the asset or liability; and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3</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44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Prices or valuation techniques that require inputs that are both significant to the fair value measurement and unobservable (supported by little or no market activity).</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Currency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reporting currency for the condensed consolidated financial statements of the Company is the US dollar. The functional currency of the Company and its wholly owned subsidiaries Spectral MD Holdings LLC and Spectral MD, Inc. is the US dollar. The functional currency of Spectral MD UK is its local currency, the British pound. The assets and liabilities of Spectral MD UK are translated into US. dollars at exchange rates in effect at the end of each reporting period, and the revenues and expenses are translated at average exchange rates in effect during the applicable period. Translation adjustments are included in accumulated other comprehensive income as a component of stockholders’ equity. As of September 30, 2023 and December 31, 2022, the Company’s translation adjustments are not material.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Monetary assets and liabilities denominated in currencies other than the functional currency are translated at exchange rates in effect at the balance sheet date. Resulting unrealized gains and losses are included in other income (expense), net in the condensed consolidated statements of operations. For the three and nine months ended September 30, 2023 the Company recorded approximately $24,000 and $11,000, respectively, of net foreign exchange transaction losses. For the three and nine months ended September 30, 2022, the Company recorded approximately $0.1 million and $0.3 million, respectively, of net foreign exchange transaction losses primarily related to the Company’s bank account denominated in British Pounds and accounts payable denominated in British Pounds.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its leases under ASC 842, Leases. Under this guidance, arrangements meeting the definition of a lease are classified as operating or financing leases. Operating leases are recorded in the condensed consolidated balance sheets as both a right-of-use asset and a lease liability, calculated by discounting fixed lease payments at the rate implicit in the lease or the Company’s incremental borrowing rate factoring the term of the lease. The incremental borrowing rate used by the Company is an estimate of the interest rate the Company would incur to borrow an amount equal to the lease payments on a collateralized basis over the term of the lease. Because the Company does not generally borrow on a collateralized basis, it uses the interest rate it pays on its noncollateralized borrowings as an input to deriving an appropriate incremental borrowing rate, adjusted for the amount of lease payments, the lease term and the effect on that rate of designating specific collateral with a value equal to the unpaid lease payments for that lease.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 In calculating the right-of-use assets and lease liabilities, the Company has elected to combine lease and non-lease components. The Company excludes short-term leases having initial terms of 12 months or less from the requirement to capitalize right-of-use assets and liabilities as an accounting policy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nine months ended September 30, 2023 and 2022, the Company did not have any financing leases.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11, 2023, in conjunction with the Business Combination, the Company assumed the Public Warrants which have an exercise price of $11.50 per share, are exercisable 30 days after the Business Combination and expire five years after the Business Combination or upon redemption. The Company may redeem the Public Warrants if the Company’s common stock equals or exceeds $18.00 per share for 20 trading days within a 30-trading day period ending on the third trading day prior to the date on which the Company sends the notice of redemption to the holders of Public Warrants. As of September 30, 2023, there are 8,433,333 Public Warrants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2021, Legacy Spectral issued 73,978 warrants, with a strike price of $7.60 and a five-year life, to SP Angel Corporate Finance LLP (“SP Angel”), who acted as nominated adviser and broker to the Company for the purposes of the AIM Rules (“Angel Warrants”). In conjunction with the Business Combination, the Angel Warrants were converted into warrants to purchase Company Common Stock based on the Exchange Ratio. As of September 30, 2023, there are 73,978 warrants to purchase Company Common Stock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its Public Warrants and the Angel Warrants as derivative liabilities in accordance with ASC 815, Derivatives and Hedging (“ASC 815”). Accordingly, the Company recognizes the instruments as liabilities at fair value, determined using the closing price of the observable market quote in an active market (the NASDAQ) for the Public Warrants and the Black-Scholes option-pricing model for the Angel Warrants, and adjusts the instruments to fair value at the end of each reporting period. The liabilities are subject to re-measurement at each balance sheet date until exercised, redeemed or expired, and any change in fair value is recognized in the Company’s condensed consolidated statements of operations within other income (expense).</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when the Company’s customers obtain control of promised goods or services, in an amount that reflects the consideration which the Company expects to receive in exchange for those goods or services by analyzing the following five steps: (1) identify the contract with a customer(s); (2) identify the performance obligations in the contract; (3) determine the transaction price; (4) allocate the transaction price to the performance obligations in the contract; and (5) recognize revenue when (or as) the Company satisfies a performance obligation.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generates research and development revenue, primarily from the contracts with BARDA and MTEC. Each contract for BARDA and MTEC has a single performance obligation.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contracts with BARDA are cost-plus-fee contracts associated with development of certain product candidates. Revenues from these reimbursable contracts are recognized as costs are incurred, generally based on allowable costs incurred during the period, plus any recognizable earned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MTEC Agreement provides for installment payments after the completion of milestone events. The installment payments are considered variable consideration as the entitlement depends on successful completion of research, however, the payments are not constrained from inclusion in the transaction price as it not probable that a significant reversal of cumulative revenue will be reversed when the underlying uncertainty is resolved. Revenue for the MTEC Agreement is recognized over time based upon the cost-to-cost measure of progress, using this input method to measure progress as the customer has the benefit of access to the development research under these projects and therefore benefits from the Company’s performance incrementally as research and development activities occur under each project. The Company measures progress of performance by comparing the actual costs incurred to-date to the total estimated cost of the project. The Company will adjust the measure of progress at the end of each reporting period and reflect any changes to the estimated cost of the project on a prospective basis.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elected the practical expedient not to adjust the transaction price for the effects of a significant financing component as the period between performance (satisfaction of a performance obligation) and payment is one year or less. Payments from customers are generally received within 30 days of when the invoice is 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records deferred revenue when the customers have been billed prior to recognizing revenue.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expenses research and development costs as incurred. These expenses include salaries for research and development personnel, consulting fees, product development, pre-clinical studies, clinical trial costs, and other fees and costs related to the development of the technology. For the three months ended September 30, 2023 and 2022, research and development expense was $3.6 million and $4.3 million, respectively, of which $2.0 million and $3.8 million, respectively, is related to the BARDA and MTEC contracts and included in cost of revenue and $1.6 million and $0.5 million, respectively, is included in general and administrative expenses. For the nine months ended September 30, 2023 and 2022, research and development expense was $11.3 million and $12.2 million, respectively, of which $7.3 million and $10.9 million, respectively, is related to the BARDA and MTEC contracts and included in cost of revenue and $4.0 million and $1.3 million, respectively, is included in general and administrative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all stock-based payments to employees and non-employees, including grants of stock options, RSUs, RSAs and stock options with non-market performance conditions (“PSOs”) based on their respective grant date fair values. The Company estimates the fair value of stock option grants and PSOs using the Black-Scholes option pricing model. The RSUs and RSAs are valued based on the fair value of the Company’s common stock on the date of grant. The assumptions used in calculating the fair value of the Company’s stock and stock-based awards represent management’s best estimates and involve inherent uncertainties and the application of management’s judgment. The Company expenses stock-based compensation related to stock options, RSUs and RSAs over the requisite service period. As the PSOs have performance conditions, compensation expense is recognized for each award if and when the Company’s management deems it probable that the performance conditions will be satisfied. Forfeitures are recorded as they occur. Compensation previously recorded for unvested equity awards that are forfeited is reversed upon forfeiture. The Company expenses stock-based compensation to employees over the requisite service period, on a straight-line basis, based on the estimated grant-date fair value of the awards.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condensed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has no uncertain tax positions as of September 30, 2023 and December 31, 2022 that qualify for either recognition or disclosure in the condensed consolidated financial statements under this guidance.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policy is to classify assessments, if any, for tax related interest as interest expense and penalties as general and administrative expenses in the condensed consolidated statements of operations. The Company did not have any interest and penalties during the three and nine months ended September 30, 2023 and 2022 and did not have any interest or penalties accrued as of September 30, 2023.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Comprehensive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loss is equal to net loss as presented in the condensed consolidated statements of operations, as the Company did not have any material other comprehensive income or loss for the periods presented.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per Share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share of common stock is computed by dividing the net loss attributable to common stockholders by the weighted-average number of shares of common stock outstanding during the period. Diluted net loss per share of common stock adjusts basic earnings per share for the potentially dilutive impact of unvested restricted stock, stock options and warrants. Securities having an anti-dilutive effect on diluted net earnings per share are excluded from the calculation. The dilutive effect of the unvested restricted stock and stock options is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Adopted Accounting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2016, the FASB issued Accounting Standards Update (“ASU”) No. 2016-13, Financial Instruments — Credit Losses, which was subsequently amended by ASU 2018-19 and ASU 2019-10. This standard requires the measurement of expected credit losses for financial instruments carried at amortized cost held at the reporting date based on historical experience, current conditions and reasonable forecasts. The updated guidance also amends the current other-than-temporary impairment model for available-for-sale debt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 The main objective of this ASU is to provide financial statement users with more decision-useful information about the expected credit losses on financial instruments and other commitments to extend credit held by a reporting entity at each reporting date. The Company adopted this standard on January 1, 2023, with no impact on its condensed consolidated financial statements and related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2022, the FASB issued ASU 2022-03, ASC Subtopic 820, Fair Value Measurement of Equity Securities Subject to Contractual Sale Restrictions. The FASB is issuing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amendments in this update are effective for the Company on January 1, 2025. Early adoption is permitted for both interim and annual financial statements that have not yet been issued or made available for issuance. The Company is still evaluating the impact of this pronouncement on the condensed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RECAPITALIZATION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 on September 11, 2023, the Company consummated the Business Combination, with Legacy Spectral surviving the merger as a wholly-owned subsidiary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date of the Business Combination, the Company recorded net liabilities of $2.4 million, with an offsetting decrease to additional paid-in capital. The following table provides the elements of the Business Combination and reconciles these elements to the condensed consolidated statements of stockholders’ equity and the condensed consolidated statements of cash flows for the nine months ended September 30, 2023:</w:t>
      </w:r>
    </w:p>
    <w:tbl>
      <w:tblPr>
        <w:tblW w:w="7440" w:type="dxa"/>
        <w:jc w:val="left"/>
        <w:tblInd w:w="0" w:type="dxa"/>
        <w:tblLayout w:type="fixed"/>
        <w:tblCellMar>
          <w:top w:w="0" w:type="dxa"/>
          <w:left w:w="0" w:type="dxa"/>
          <w:bottom w:w="0" w:type="dxa"/>
          <w:right w:w="0" w:type="dxa"/>
        </w:tblCellMar>
      </w:tblPr>
      <w:tblGrid>
        <w:gridCol w:w="6121"/>
        <w:gridCol w:w="146"/>
        <w:gridCol w:w="226"/>
        <w:gridCol w:w="721"/>
        <w:gridCol w:w="226"/>
      </w:tblGrid>
      <w:tr>
        <w:trPr/>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assumed in exchange for common stock</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net assets assumed in exchange for common stock</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the Company issued 33,333 shares of Company Common Stock, with a fair value of $0.2 million, to settle an assumed liability to the Sponsor as a payment for an administrative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transaction costs, consisting of legal, accounting and other professional services incurred by Legacy Spectral related to the Business Combination, of $7.6 million (the “Transaction Costs”), in other income (expense) in the condensed consolidated statement of operations for the three and nine months ended September 30, 2023 and no costs were capitalized. As of September 30, 2023, $1.4 million and $1.0 million of the Transaction Costs are included accounts payable and accrued expenses, respectively. The remaining $5.2 million of Transaction Costs included $0.8 million in cash paid for transaction costs, the issuance of 400,000 shares of Company Common Stock with a fair value of $1.8 million and the commitment to issue 566,667 shares of Company Common Stock with an aggregate fair value of $2.6 million (the “Committed Stock”). See Note 15.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commitments to issue shares in exchange for Committed Stock obligation is equity-classified in accordance with ASC 815 as they are freestanding contracts that will be settled in shares of Company Common Stock. Accordingly, the Company recorded the Committed Stock obligations based on the fair value of the Company Common Stock upon the Closing and will not remeasure this obligation at any reporting dates or upon issuance of the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Business Combination the Company incurred $0.7 million of transaction costs, included in other income (expense) in the condensed consolidated statement of operations for the nine months ended September 30, 2023, for professional services incurred by Legacy Spectral that were related to potential business combinations that did not occur.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Registration Rights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agreement with one of the Company’s underwriters, for 166,667 shares of Committed Stock, the Company was required to file a registration statement with the SEC within 45 days of the Closing. The Company is required to use its commercially reasonable efforts to cause such registration to become effective, and in any event if such registration statement does not become effective, the Company has 30 days to cure such default or will be required to pay the obligation with $1.3 million of cash. In accordance with ASC 825, Financial Instruments, the Company has a registration right obligation, however, in accordance with ASC 450, Contingencies (“ASC 450”), the obligation is not probable as the Company has several options to provide registration rights pursuant to the agreement and thus no liability has been recorded.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RECAPITALIZATION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has an obligation to register 400,000 shares of Committed Stock pursuant to an effective registration statement with the SEC within 30 days of the Closing. The Company is required to use its best efforts to cause such registration to become effective within 45 days if the registration statement is not reviewed by the SEC and 60 days if the registration statement is reviewed by the SEC. If the registration statement is not effective by the specified time period or if the Company does not maintain effectiveness of the registration statement for two years, the Company has to pay the obligation with $3.0 million of cash. In accordance with ASC 825, Financial Instruments, the Company has a registration right obligation, however, in accordance with ASC 450 the obligation is not probable as the Company has several options to provide registration rights pursuant to the agreement and thus no liability has been recorded.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about the Company’s financial liabilities that are measured at fair value on a recurring basis as of September 30, 2023 and December 31, 2022, by level within the fair value hierarchy (in thousands):</w:t>
      </w:r>
    </w:p>
    <w:tbl>
      <w:tblPr>
        <w:tblW w:w="8302" w:type="dxa"/>
        <w:jc w:val="left"/>
        <w:tblInd w:w="0" w:type="dxa"/>
        <w:tblLayout w:type="fixed"/>
        <w:tblCellMar>
          <w:top w:w="0" w:type="dxa"/>
          <w:left w:w="0" w:type="dxa"/>
          <w:bottom w:w="0" w:type="dxa"/>
          <w:right w:w="0" w:type="dxa"/>
        </w:tblCellMar>
      </w:tblPr>
      <w:tblGrid>
        <w:gridCol w:w="1861"/>
        <w:gridCol w:w="146"/>
        <w:gridCol w:w="420"/>
        <w:gridCol w:w="1201"/>
        <w:gridCol w:w="211"/>
        <w:gridCol w:w="327"/>
        <w:gridCol w:w="937"/>
        <w:gridCol w:w="211"/>
        <w:gridCol w:w="486"/>
        <w:gridCol w:w="745"/>
        <w:gridCol w:w="211"/>
        <w:gridCol w:w="566"/>
        <w:gridCol w:w="980"/>
      </w:tblGrid>
      <w:tr>
        <w:trPr/>
        <w:tc>
          <w:tcPr>
            <w:tcW w:w="18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295"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measured as of September 30, 2023</w:t>
            </w:r>
          </w:p>
        </w:tc>
      </w:tr>
      <w:tr>
        <w:trPr/>
        <w:tc>
          <w:tcPr>
            <w:tcW w:w="18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at</w:t>
              <w:br/>
              <w:t>September 30,</w:t>
              <w:br/>
              <w:t>2023</w:t>
            </w:r>
          </w:p>
        </w:tc>
        <w:tc>
          <w:tcPr>
            <w:tcW w:w="211"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Quoted</w:t>
              <w:br/>
              <w:t>prices</w:t>
              <w:br/>
              <w:t>in active</w:t>
              <w:br/>
              <w:t>markets</w:t>
              <w:br/>
              <w:t>(Level 1)</w:t>
            </w:r>
          </w:p>
        </w:tc>
        <w:tc>
          <w:tcPr>
            <w:tcW w:w="211"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Significant</w:t>
              <w:br/>
              <w:t>other</w:t>
              <w:br/>
              <w:t>observable</w:t>
              <w:br/>
              <w:t>inputs</w:t>
              <w:br/>
              <w:t>(Level 2)</w:t>
            </w:r>
          </w:p>
        </w:tc>
        <w:tc>
          <w:tcPr>
            <w:tcW w:w="211" w:type="dxa"/>
            <w:tcBorders/>
            <w:vAlign w:val="bottom"/>
          </w:tcPr>
          <w:p>
            <w:pPr>
              <w:pStyle w:val="TableContents"/>
              <w:bidi w:val="0"/>
              <w:spacing w:before="0" w:after="283"/>
              <w:jc w:val="left"/>
              <w:rPr/>
            </w:pPr>
            <w:r>
              <w:rPr/>
              <w:t> </w:t>
            </w:r>
          </w:p>
        </w:tc>
        <w:tc>
          <w:tcPr>
            <w:tcW w:w="15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Significant</w:t>
              <w:br/>
              <w:t>unobservable</w:t>
              <w:br/>
              <w:t>inputs</w:t>
              <w:br/>
              <w:t>(Level 3)</w:t>
            </w:r>
          </w:p>
        </w:tc>
      </w:tr>
      <w:tr>
        <w:trPr/>
        <w:tc>
          <w:tcPr>
            <w:tcW w:w="18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bidi w:val="0"/>
              <w:spacing w:before="0" w:after="283"/>
              <w:jc w:val="left"/>
              <w:rPr/>
            </w:pPr>
            <w:r>
              <w:rPr/>
              <w:t> </w:t>
            </w:r>
          </w:p>
        </w:tc>
        <w:tc>
          <w:tcPr>
            <w:tcW w:w="4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1,149</w:t>
            </w:r>
          </w:p>
        </w:tc>
        <w:tc>
          <w:tcPr>
            <w:tcW w:w="211" w:type="dxa"/>
            <w:tcBorders/>
            <w:shd w:fill="CCEEFF" w:val="clear"/>
            <w:vAlign w:val="bottom"/>
          </w:tcPr>
          <w:p>
            <w:pPr>
              <w:pStyle w:val="TableContents"/>
              <w:bidi w:val="0"/>
              <w:spacing w:before="0" w:after="283"/>
              <w:jc w:val="left"/>
              <w:rPr/>
            </w:pPr>
            <w:r>
              <w:rPr/>
              <w:t> </w:t>
            </w:r>
          </w:p>
        </w:tc>
        <w:tc>
          <w:tcPr>
            <w:tcW w:w="3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1,096</w:t>
            </w:r>
          </w:p>
        </w:tc>
        <w:tc>
          <w:tcPr>
            <w:tcW w:w="211" w:type="dxa"/>
            <w:tcBorders/>
            <w:shd w:fill="CCEEFF" w:val="clear"/>
            <w:vAlign w:val="bottom"/>
          </w:tcPr>
          <w:p>
            <w:pPr>
              <w:pStyle w:val="TableContents"/>
              <w:bidi w:val="0"/>
              <w:spacing w:before="0" w:after="283"/>
              <w:jc w:val="left"/>
              <w:rPr/>
            </w:pPr>
            <w:r>
              <w:rPr/>
              <w:t> </w:t>
            </w:r>
          </w:p>
        </w:tc>
        <w:tc>
          <w:tcPr>
            <w:tcW w:w="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1" w:type="dxa"/>
            <w:tcBorders/>
            <w:shd w:fill="CCEEFF" w:val="clear"/>
            <w:vAlign w:val="bottom"/>
          </w:tcPr>
          <w:p>
            <w:pPr>
              <w:pStyle w:val="TableContents"/>
              <w:bidi w:val="0"/>
              <w:spacing w:before="0" w:after="283"/>
              <w:jc w:val="left"/>
              <w:rPr/>
            </w:pPr>
            <w:r>
              <w:rPr/>
              <w:t> </w:t>
            </w:r>
          </w:p>
        </w:tc>
        <w:tc>
          <w:tcPr>
            <w:tcW w:w="5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bl>
    <w:tbl>
      <w:tblPr>
        <w:tblW w:w="7971" w:type="dxa"/>
        <w:jc w:val="left"/>
        <w:tblInd w:w="0" w:type="dxa"/>
        <w:tblLayout w:type="fixed"/>
        <w:tblCellMar>
          <w:top w:w="0" w:type="dxa"/>
          <w:left w:w="0" w:type="dxa"/>
          <w:bottom w:w="0" w:type="dxa"/>
          <w:right w:w="0" w:type="dxa"/>
        </w:tblCellMar>
      </w:tblPr>
      <w:tblGrid>
        <w:gridCol w:w="1861"/>
        <w:gridCol w:w="146"/>
        <w:gridCol w:w="495"/>
        <w:gridCol w:w="1021"/>
        <w:gridCol w:w="232"/>
        <w:gridCol w:w="384"/>
        <w:gridCol w:w="591"/>
        <w:gridCol w:w="232"/>
        <w:gridCol w:w="486"/>
        <w:gridCol w:w="745"/>
        <w:gridCol w:w="232"/>
        <w:gridCol w:w="474"/>
        <w:gridCol w:w="1072"/>
      </w:tblGrid>
      <w:tr>
        <w:trPr/>
        <w:tc>
          <w:tcPr>
            <w:tcW w:w="18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964"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measured as of December 31, 2023</w:t>
            </w:r>
          </w:p>
        </w:tc>
      </w:tr>
      <w:tr>
        <w:trPr/>
        <w:tc>
          <w:tcPr>
            <w:tcW w:w="18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at</w:t>
              <w:br/>
              <w:t>December 31,</w:t>
              <w:br/>
              <w:t>2023</w:t>
            </w:r>
          </w:p>
        </w:tc>
        <w:tc>
          <w:tcPr>
            <w:tcW w:w="232"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Quoted</w:t>
              <w:br/>
              <w:t>prices</w:t>
              <w:br/>
              <w:t>in active</w:t>
              <w:br/>
              <w:t>markets</w:t>
              <w:br/>
              <w:t>(Level 1)</w:t>
            </w:r>
          </w:p>
        </w:tc>
        <w:tc>
          <w:tcPr>
            <w:tcW w:w="232"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Significant</w:t>
              <w:br/>
              <w:t>other</w:t>
              <w:br/>
              <w:t>observable</w:t>
              <w:br/>
              <w:t>inputs</w:t>
              <w:br/>
              <w:t>(Level 2)</w:t>
            </w:r>
          </w:p>
        </w:tc>
        <w:tc>
          <w:tcPr>
            <w:tcW w:w="232" w:type="dxa"/>
            <w:tcBorders/>
            <w:vAlign w:val="bottom"/>
          </w:tcPr>
          <w:p>
            <w:pPr>
              <w:pStyle w:val="TableContents"/>
              <w:bidi w:val="0"/>
              <w:spacing w:before="0" w:after="283"/>
              <w:jc w:val="left"/>
              <w:rPr/>
            </w:pPr>
            <w:r>
              <w:rPr/>
              <w:t> </w:t>
            </w:r>
          </w:p>
        </w:tc>
        <w:tc>
          <w:tcPr>
            <w:tcW w:w="15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Significant</w:t>
              <w:br/>
              <w:t>unobservable</w:t>
              <w:br/>
              <w:t>inputs</w:t>
              <w:br/>
              <w:t>(Level 3)</w:t>
            </w:r>
          </w:p>
        </w:tc>
      </w:tr>
      <w:tr>
        <w:trPr/>
        <w:tc>
          <w:tcPr>
            <w:tcW w:w="18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shd w:fill="CCEEFF" w:val="clear"/>
            <w:vAlign w:val="bottom"/>
          </w:tcPr>
          <w:p>
            <w:pPr>
              <w:pStyle w:val="TableContents"/>
              <w:bidi w:val="0"/>
              <w:spacing w:before="0" w:after="283"/>
              <w:jc w:val="left"/>
              <w:rPr/>
            </w:pPr>
            <w:r>
              <w:rPr/>
              <w:t> </w:t>
            </w:r>
          </w:p>
        </w:tc>
        <w:tc>
          <w:tcPr>
            <w:tcW w:w="49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32" w:type="dxa"/>
            <w:tcBorders/>
            <w:shd w:fill="CCEEFF" w:val="clear"/>
            <w:vAlign w:val="bottom"/>
          </w:tcPr>
          <w:p>
            <w:pPr>
              <w:pStyle w:val="TableContents"/>
              <w:bidi w:val="0"/>
              <w:spacing w:before="0" w:after="283"/>
              <w:jc w:val="left"/>
              <w:rPr/>
            </w:pPr>
            <w:r>
              <w:rPr/>
              <w:t> </w:t>
            </w:r>
          </w:p>
        </w:tc>
        <w:tc>
          <w:tcPr>
            <w:tcW w:w="38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2" w:type="dxa"/>
            <w:tcBorders/>
            <w:shd w:fill="CCEEFF" w:val="clear"/>
            <w:vAlign w:val="bottom"/>
          </w:tcPr>
          <w:p>
            <w:pPr>
              <w:pStyle w:val="TableContents"/>
              <w:bidi w:val="0"/>
              <w:spacing w:before="0" w:after="283"/>
              <w:jc w:val="left"/>
              <w:rPr/>
            </w:pPr>
            <w:r>
              <w:rPr/>
              <w:t> </w:t>
            </w:r>
          </w:p>
        </w:tc>
        <w:tc>
          <w:tcPr>
            <w:tcW w:w="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2" w:type="dxa"/>
            <w:tcBorders/>
            <w:shd w:fill="CCEEFF" w:val="clear"/>
            <w:vAlign w:val="bottom"/>
          </w:tcPr>
          <w:p>
            <w:pPr>
              <w:pStyle w:val="TableContents"/>
              <w:bidi w:val="0"/>
              <w:spacing w:before="0" w:after="283"/>
              <w:jc w:val="left"/>
              <w:rPr/>
            </w:pPr>
            <w:r>
              <w:rPr/>
              <w:t> </w:t>
            </w:r>
          </w:p>
        </w:tc>
        <w:tc>
          <w:tcPr>
            <w:tcW w:w="4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transfers between Level 1, 2 or 3 during the three and nine months ended September 30, 2023 and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values of cash, accounts receivable, accounts payable, accrued expenses and short-term debt are carried at cost, which management believes approximates fair value due to the short-term nature of these instruments. The fair value of the Public Warrants, which trade in active markets, is based on quoted market prices and classified in Level 1 of the fair value hierarchy. The Angel Warrants are classified within Level 3 of the fair value hierarchy because their fair values are based on significant inputs that are unobservable in the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changes in Level 3 liabilities measured at fair value for the three and nine months ended September 30, 2023 and 2022 (in thousands):</w:t>
      </w:r>
    </w:p>
    <w:tbl>
      <w:tblPr>
        <w:tblW w:w="4620" w:type="dxa"/>
        <w:jc w:val="left"/>
        <w:tblInd w:w="0" w:type="dxa"/>
        <w:tblLayout w:type="fixed"/>
        <w:tblCellMar>
          <w:top w:w="0" w:type="dxa"/>
          <w:left w:w="0" w:type="dxa"/>
          <w:bottom w:w="0" w:type="dxa"/>
          <w:right w:w="0" w:type="dxa"/>
        </w:tblCellMar>
      </w:tblPr>
      <w:tblGrid>
        <w:gridCol w:w="3481"/>
        <w:gridCol w:w="146"/>
        <w:gridCol w:w="226"/>
        <w:gridCol w:w="541"/>
        <w:gridCol w:w="226"/>
      </w:tblGrid>
      <w:tr>
        <w:trPr/>
        <w:tc>
          <w:tcPr>
            <w:tcW w:w="3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 January 1, 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March 31, 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June 30, 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September 30, 2023</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FAIR VALUE MEASUREMENTS </w:t>
      </w:r>
      <w:r>
        <w:rPr>
          <w:rFonts w:ascii="Times New Roman PS Std;serif" w:hAnsi="Times New Roman PS Std;serif"/>
          <w:b w:val="false"/>
          <w:i w:val="false"/>
          <w:caps w:val="false"/>
          <w:smallCaps w:val="false"/>
          <w:sz w:val="20"/>
        </w:rPr>
        <w:t>(cont.)</w:t>
      </w:r>
    </w:p>
    <w:tbl>
      <w:tblPr>
        <w:tblW w:w="4545" w:type="dxa"/>
        <w:jc w:val="left"/>
        <w:tblInd w:w="0" w:type="dxa"/>
        <w:tblLayout w:type="fixed"/>
        <w:tblCellMar>
          <w:top w:w="0" w:type="dxa"/>
          <w:left w:w="0" w:type="dxa"/>
          <w:bottom w:w="0" w:type="dxa"/>
          <w:right w:w="0" w:type="dxa"/>
        </w:tblCellMar>
      </w:tblPr>
      <w:tblGrid>
        <w:gridCol w:w="3481"/>
        <w:gridCol w:w="146"/>
        <w:gridCol w:w="226"/>
        <w:gridCol w:w="466"/>
        <w:gridCol w:w="226"/>
      </w:tblGrid>
      <w:tr>
        <w:trPr/>
        <w:tc>
          <w:tcPr>
            <w:tcW w:w="3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 January 1, 2022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March 31, 2022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June 30, 2022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September 30, 2022</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Both observable and unobservable inputs were used to determine the fair value of warrants that the Company has classified within the Level 3 category. Unrealized gains and losses associated with liabilities within the Level 3 category include changes in fair value that were attributable to both observable (e.g., changes in market interest rates) and unobservable (e.g., changes in unobservable long-dated volatilities) inputs.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quantitative information regarding Level 3 fair value measurements inputs at their measurement:</w:t>
      </w:r>
    </w:p>
    <w:tbl>
      <w:tblPr>
        <w:tblW w:w="6130" w:type="dxa"/>
        <w:jc w:val="left"/>
        <w:tblInd w:w="0" w:type="dxa"/>
        <w:tblLayout w:type="fixed"/>
        <w:tblCellMar>
          <w:top w:w="0" w:type="dxa"/>
          <w:left w:w="0" w:type="dxa"/>
          <w:bottom w:w="0" w:type="dxa"/>
          <w:right w:w="0" w:type="dxa"/>
        </w:tblCellMar>
      </w:tblPr>
      <w:tblGrid>
        <w:gridCol w:w="2656"/>
        <w:gridCol w:w="146"/>
        <w:gridCol w:w="352"/>
        <w:gridCol w:w="821"/>
        <w:gridCol w:w="448"/>
        <w:gridCol w:w="146"/>
        <w:gridCol w:w="325"/>
        <w:gridCol w:w="758"/>
        <w:gridCol w:w="478"/>
      </w:tblGrid>
      <w:tr>
        <w:trPr/>
        <w:tc>
          <w:tcPr>
            <w:tcW w:w="26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w:t>
              <w:br/>
              <w:t>2023</w:t>
            </w:r>
          </w:p>
        </w:tc>
        <w:tc>
          <w:tcPr>
            <w:tcW w:w="146" w:type="dxa"/>
            <w:tcBorders/>
            <w:vAlign w:val="bottom"/>
          </w:tcPr>
          <w:p>
            <w:pPr>
              <w:pStyle w:val="TableContents"/>
              <w:bidi w:val="0"/>
              <w:spacing w:before="0" w:after="283"/>
              <w:jc w:val="left"/>
              <w:rPr/>
            </w:pPr>
            <w:r>
              <w:rPr/>
              <w:t> </w:t>
            </w:r>
          </w:p>
        </w:tc>
        <w:tc>
          <w:tcPr>
            <w:tcW w:w="156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2022</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Strike price (per share)</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4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4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Contractual term (years)</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4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4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Volatility (annual)</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44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w:t>
            </w:r>
          </w:p>
        </w:tc>
        <w:tc>
          <w:tcPr>
            <w:tcW w:w="47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44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47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yield (per share)</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44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47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RESEARCH AND DEVELOPMENT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nine months ended September 30, 2023 and 2022, the Company’s revenues disaggregated by the major sources was as follows (in thousands):</w:t>
      </w:r>
    </w:p>
    <w:tbl>
      <w:tblPr>
        <w:tblW w:w="8332" w:type="dxa"/>
        <w:jc w:val="left"/>
        <w:tblInd w:w="0" w:type="dxa"/>
        <w:tblLayout w:type="fixed"/>
        <w:tblCellMar>
          <w:top w:w="0" w:type="dxa"/>
          <w:left w:w="0" w:type="dxa"/>
          <w:bottom w:w="0" w:type="dxa"/>
          <w:right w:w="0" w:type="dxa"/>
        </w:tblCellMar>
      </w:tblPr>
      <w:tblGrid>
        <w:gridCol w:w="3646"/>
        <w:gridCol w:w="146"/>
        <w:gridCol w:w="265"/>
        <w:gridCol w:w="759"/>
        <w:gridCol w:w="171"/>
        <w:gridCol w:w="265"/>
        <w:gridCol w:w="759"/>
        <w:gridCol w:w="146"/>
        <w:gridCol w:w="226"/>
        <w:gridCol w:w="766"/>
        <w:gridCol w:w="146"/>
        <w:gridCol w:w="226"/>
        <w:gridCol w:w="811"/>
      </w:tblGrid>
      <w:tr>
        <w:trPr/>
        <w:tc>
          <w:tcPr>
            <w:tcW w:w="36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19"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September 30,</w:t>
            </w:r>
          </w:p>
        </w:tc>
        <w:tc>
          <w:tcPr>
            <w:tcW w:w="146" w:type="dxa"/>
            <w:tcBorders/>
            <w:vAlign w:val="bottom"/>
          </w:tcPr>
          <w:p>
            <w:pPr>
              <w:pStyle w:val="TableContents"/>
              <w:bidi w:val="0"/>
              <w:spacing w:before="0" w:after="283"/>
              <w:jc w:val="left"/>
              <w:rPr/>
            </w:pPr>
            <w:r>
              <w:rPr/>
              <w:t> </w:t>
            </w:r>
          </w:p>
        </w:tc>
        <w:tc>
          <w:tcPr>
            <w:tcW w:w="217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 Ended</w:t>
              <w:br/>
              <w:t>September 30,</w:t>
            </w:r>
          </w:p>
        </w:tc>
      </w:tr>
      <w:tr>
        <w:trPr/>
        <w:tc>
          <w:tcPr>
            <w:tcW w:w="3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71"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BARDA</w:t>
            </w:r>
          </w:p>
        </w:tc>
        <w:tc>
          <w:tcPr>
            <w:tcW w:w="146"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3,055</w:t>
            </w:r>
          </w:p>
        </w:tc>
        <w:tc>
          <w:tcPr>
            <w:tcW w:w="171"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18,866</w:t>
            </w:r>
          </w:p>
        </w:tc>
      </w:tr>
      <w:tr>
        <w:trPr/>
        <w:tc>
          <w:tcPr>
            <w:tcW w:w="3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U.S. governmental authorities</w:t>
            </w:r>
          </w:p>
        </w:tc>
        <w:tc>
          <w:tcPr>
            <w:tcW w:w="146" w:type="dxa"/>
            <w:tcBorders/>
            <w:vAlign w:val="bottom"/>
          </w:tcPr>
          <w:p>
            <w:pPr>
              <w:pStyle w:val="TableContents"/>
              <w:bidi w:val="0"/>
              <w:spacing w:before="0" w:after="283"/>
              <w:jc w:val="left"/>
              <w:rPr/>
            </w:pPr>
            <w:r>
              <w:rPr/>
              <w:t> </w:t>
            </w:r>
          </w:p>
        </w:tc>
        <w:tc>
          <w:tcPr>
            <w:tcW w:w="26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w:t>
            </w:r>
          </w:p>
        </w:tc>
        <w:tc>
          <w:tcPr>
            <w:tcW w:w="171" w:type="dxa"/>
            <w:tcBorders/>
            <w:vAlign w:val="bottom"/>
          </w:tcPr>
          <w:p>
            <w:pPr>
              <w:pStyle w:val="TableContents"/>
              <w:bidi w:val="0"/>
              <w:spacing w:before="0" w:after="283"/>
              <w:jc w:val="left"/>
              <w:rPr/>
            </w:pPr>
            <w:r>
              <w:rPr/>
              <w:t> </w:t>
            </w:r>
          </w:p>
        </w:tc>
        <w:tc>
          <w:tcPr>
            <w:tcW w:w="26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26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3,440</w:t>
            </w:r>
          </w:p>
        </w:tc>
        <w:tc>
          <w:tcPr>
            <w:tcW w:w="171" w:type="dxa"/>
            <w:tcBorders/>
            <w:shd w:fill="CCEEFF" w:val="clear"/>
            <w:vAlign w:val="bottom"/>
          </w:tcPr>
          <w:p>
            <w:pPr>
              <w:pStyle w:val="TableContents"/>
              <w:bidi w:val="0"/>
              <w:spacing w:before="0" w:after="283"/>
              <w:jc w:val="left"/>
              <w:rPr/>
            </w:pPr>
            <w:r>
              <w:rPr/>
              <w:t> </w:t>
            </w:r>
          </w:p>
        </w:tc>
        <w:tc>
          <w:tcPr>
            <w:tcW w:w="26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7,038</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12,769</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19,272</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ACCRUED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consist of the following as of September 30, 2023 and December 31, 2022 (in thousands):</w:t>
      </w:r>
    </w:p>
    <w:tbl>
      <w:tblPr>
        <w:tblW w:w="6205" w:type="dxa"/>
        <w:jc w:val="left"/>
        <w:tblInd w:w="0" w:type="dxa"/>
        <w:tblLayout w:type="fixed"/>
        <w:tblCellMar>
          <w:top w:w="0" w:type="dxa"/>
          <w:left w:w="0" w:type="dxa"/>
          <w:bottom w:w="0" w:type="dxa"/>
          <w:right w:w="0" w:type="dxa"/>
        </w:tblCellMar>
      </w:tblPr>
      <w:tblGrid>
        <w:gridCol w:w="2731"/>
        <w:gridCol w:w="146"/>
        <w:gridCol w:w="420"/>
        <w:gridCol w:w="1201"/>
        <w:gridCol w:w="146"/>
        <w:gridCol w:w="384"/>
        <w:gridCol w:w="1177"/>
      </w:tblGrid>
      <w:tr>
        <w:trPr/>
        <w:tc>
          <w:tcPr>
            <w:tcW w:w="2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w:t>
              <w:br/>
              <w:t>2023</w:t>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2022</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Salary and wages</w:t>
            </w:r>
          </w:p>
        </w:tc>
        <w:tc>
          <w:tcPr>
            <w:tcW w:w="146"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1,403</w:t>
            </w:r>
          </w:p>
        </w:tc>
        <w:tc>
          <w:tcPr>
            <w:tcW w:w="146"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1,135</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w:t>
            </w:r>
          </w:p>
        </w:tc>
        <w:tc>
          <w:tcPr>
            <w:tcW w:w="146" w:type="dxa"/>
            <w:tcBorders/>
            <w:vAlign w:val="bottom"/>
          </w:tcPr>
          <w:p>
            <w:pPr>
              <w:pStyle w:val="TableContents"/>
              <w:bidi w:val="0"/>
              <w:spacing w:before="0" w:after="283"/>
              <w:jc w:val="left"/>
              <w:rPr/>
            </w:pPr>
            <w:r>
              <w:rPr/>
              <w:t> </w:t>
            </w:r>
          </w:p>
        </w:tc>
        <w:tc>
          <w:tcPr>
            <w:tcW w:w="4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vAlign w:val="bottom"/>
          </w:tcPr>
          <w:p>
            <w:pPr>
              <w:pStyle w:val="TableContents"/>
              <w:bidi w:val="0"/>
              <w:spacing w:before="0" w:after="283"/>
              <w:jc w:val="left"/>
              <w:rPr/>
            </w:pPr>
            <w:r>
              <w:rPr/>
              <w:t> </w:t>
            </w:r>
          </w:p>
        </w:tc>
        <w:tc>
          <w:tcPr>
            <w:tcW w:w="3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7" w:type="dxa"/>
            <w:tcBorders/>
            <w:vAlign w:val="bottom"/>
          </w:tcPr>
          <w:p>
            <w:pPr>
              <w:pStyle w:val="TableContents"/>
              <w:bidi w:val="0"/>
              <w:spacing w:before="0" w:after="283"/>
              <w:jc w:val="left"/>
              <w:rPr/>
            </w:pPr>
            <w:r>
              <w:rPr/>
              <w:t>—</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w:t>
            </w:r>
          </w:p>
        </w:tc>
        <w:tc>
          <w:tcPr>
            <w:tcW w:w="146"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Benefits</w:t>
            </w:r>
          </w:p>
        </w:tc>
        <w:tc>
          <w:tcPr>
            <w:tcW w:w="146" w:type="dxa"/>
            <w:tcBorders/>
            <w:vAlign w:val="bottom"/>
          </w:tcPr>
          <w:p>
            <w:pPr>
              <w:pStyle w:val="TableContents"/>
              <w:bidi w:val="0"/>
              <w:spacing w:before="0" w:after="283"/>
              <w:jc w:val="left"/>
              <w:rPr/>
            </w:pPr>
            <w:r>
              <w:rPr/>
              <w:t> </w:t>
            </w:r>
          </w:p>
        </w:tc>
        <w:tc>
          <w:tcPr>
            <w:tcW w:w="4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w:t>
            </w:r>
          </w:p>
        </w:tc>
        <w:tc>
          <w:tcPr>
            <w:tcW w:w="146" w:type="dxa"/>
            <w:tcBorders/>
            <w:vAlign w:val="bottom"/>
          </w:tcPr>
          <w:p>
            <w:pPr>
              <w:pStyle w:val="TableContents"/>
              <w:bidi w:val="0"/>
              <w:spacing w:before="0" w:after="283"/>
              <w:jc w:val="left"/>
              <w:rPr/>
            </w:pPr>
            <w:r>
              <w:rPr/>
              <w:t> </w:t>
            </w:r>
          </w:p>
        </w:tc>
        <w:tc>
          <w:tcPr>
            <w:tcW w:w="3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146"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accrued expenses</w:t>
            </w:r>
          </w:p>
        </w:tc>
        <w:tc>
          <w:tcPr>
            <w:tcW w:w="146" w:type="dxa"/>
            <w:tcBorders/>
            <w:vAlign w:val="bottom"/>
          </w:tcPr>
          <w:p>
            <w:pPr>
              <w:pStyle w:val="TableContents"/>
              <w:bidi w:val="0"/>
              <w:spacing w:before="0" w:after="283"/>
              <w:jc w:val="left"/>
              <w:rPr/>
            </w:pPr>
            <w:r>
              <w:rPr/>
              <w:t> </w:t>
            </w:r>
          </w:p>
        </w:tc>
        <w:tc>
          <w:tcPr>
            <w:tcW w:w="42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3,983</w:t>
            </w:r>
          </w:p>
        </w:tc>
        <w:tc>
          <w:tcPr>
            <w:tcW w:w="146" w:type="dxa"/>
            <w:tcBorders/>
            <w:vAlign w:val="bottom"/>
          </w:tcPr>
          <w:p>
            <w:pPr>
              <w:pStyle w:val="TableContents"/>
              <w:bidi w:val="0"/>
              <w:spacing w:before="0" w:after="283"/>
              <w:jc w:val="left"/>
              <w:rPr/>
            </w:pPr>
            <w:r>
              <w:rPr/>
              <w:t> </w:t>
            </w:r>
          </w:p>
        </w:tc>
        <w:tc>
          <w:tcPr>
            <w:tcW w:w="38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NOTES PAYABLE</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entered into financing arrangements for a portion of its insurance premiums, as follows (in thousands):</w:t>
      </w:r>
    </w:p>
    <w:tbl>
      <w:tblPr>
        <w:tblW w:w="10205" w:type="dxa"/>
        <w:jc w:val="left"/>
        <w:tblInd w:w="0" w:type="dxa"/>
        <w:tblLayout w:type="fixed"/>
        <w:tblCellMar>
          <w:top w:w="0" w:type="dxa"/>
          <w:left w:w="0" w:type="dxa"/>
          <w:bottom w:w="0" w:type="dxa"/>
          <w:right w:w="0" w:type="dxa"/>
        </w:tblCellMar>
      </w:tblPr>
      <w:tblGrid>
        <w:gridCol w:w="2106"/>
        <w:gridCol w:w="146"/>
        <w:gridCol w:w="338"/>
        <w:gridCol w:w="698"/>
        <w:gridCol w:w="146"/>
        <w:gridCol w:w="537"/>
        <w:gridCol w:w="379"/>
        <w:gridCol w:w="146"/>
        <w:gridCol w:w="314"/>
        <w:gridCol w:w="640"/>
        <w:gridCol w:w="200"/>
        <w:gridCol w:w="309"/>
        <w:gridCol w:w="640"/>
        <w:gridCol w:w="146"/>
        <w:gridCol w:w="542"/>
        <w:gridCol w:w="1120"/>
        <w:gridCol w:w="192"/>
        <w:gridCol w:w="490"/>
        <w:gridCol w:w="1116"/>
      </w:tblGrid>
      <w:tr>
        <w:trPr/>
        <w:tc>
          <w:tcPr>
            <w:tcW w:w="210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03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br/>
              <w:t>Financed</w:t>
            </w:r>
          </w:p>
        </w:tc>
        <w:tc>
          <w:tcPr>
            <w:tcW w:w="146" w:type="dxa"/>
            <w:vMerge w:val="restart"/>
            <w:tcBorders/>
            <w:vAlign w:val="bottom"/>
          </w:tcPr>
          <w:p>
            <w:pPr>
              <w:pStyle w:val="TableContents"/>
              <w:bidi w:val="0"/>
              <w:spacing w:before="0" w:after="283"/>
              <w:jc w:val="left"/>
              <w:rPr/>
            </w:pPr>
            <w:r>
              <w:rPr/>
              <w:t> </w:t>
            </w:r>
          </w:p>
        </w:tc>
        <w:tc>
          <w:tcPr>
            <w:tcW w:w="91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Interest</w:t>
              <w:br/>
              <w:t>Rate</w:t>
            </w:r>
          </w:p>
        </w:tc>
        <w:tc>
          <w:tcPr>
            <w:tcW w:w="146" w:type="dxa"/>
            <w:vMerge w:val="restart"/>
            <w:tcBorders/>
            <w:vAlign w:val="bottom"/>
          </w:tcPr>
          <w:p>
            <w:pPr>
              <w:pStyle w:val="TableContents"/>
              <w:bidi w:val="0"/>
              <w:spacing w:before="0" w:after="283"/>
              <w:jc w:val="left"/>
              <w:rPr/>
            </w:pPr>
            <w:r>
              <w:rPr/>
              <w:t> </w:t>
            </w:r>
          </w:p>
        </w:tc>
        <w:tc>
          <w:tcPr>
            <w:tcW w:w="210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Repayments</w:t>
            </w:r>
          </w:p>
        </w:tc>
        <w:tc>
          <w:tcPr>
            <w:tcW w:w="146" w:type="dxa"/>
            <w:tcBorders/>
            <w:vAlign w:val="bottom"/>
          </w:tcPr>
          <w:p>
            <w:pPr>
              <w:pStyle w:val="TableContents"/>
              <w:bidi w:val="0"/>
              <w:spacing w:before="0" w:after="283"/>
              <w:jc w:val="left"/>
              <w:rPr/>
            </w:pPr>
            <w:r>
              <w:rPr/>
              <w:t> </w:t>
            </w:r>
          </w:p>
        </w:tc>
        <w:tc>
          <w:tcPr>
            <w:tcW w:w="346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Outstanding Balance</w:t>
            </w:r>
          </w:p>
        </w:tc>
      </w:tr>
      <w:tr>
        <w:trPr/>
        <w:tc>
          <w:tcPr>
            <w:tcW w:w="210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3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1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10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 Ended</w:t>
              <w:br/>
              <w:t>September 30,</w:t>
            </w:r>
          </w:p>
        </w:tc>
        <w:tc>
          <w:tcPr>
            <w:tcW w:w="146" w:type="dxa"/>
            <w:tcBorders/>
            <w:vAlign w:val="bottom"/>
          </w:tcPr>
          <w:p>
            <w:pPr>
              <w:pStyle w:val="TableContents"/>
              <w:bidi w:val="0"/>
              <w:spacing w:before="0" w:after="283"/>
              <w:jc w:val="left"/>
              <w:rPr/>
            </w:pPr>
            <w:r>
              <w:rPr/>
              <w:t> </w:t>
            </w:r>
          </w:p>
        </w:tc>
        <w:tc>
          <w:tcPr>
            <w:tcW w:w="1662"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September 30, </w:t>
              <w:br/>
              <w:t>2023</w:t>
            </w:r>
          </w:p>
        </w:tc>
        <w:tc>
          <w:tcPr>
            <w:tcW w:w="192" w:type="dxa"/>
            <w:vMerge w:val="restart"/>
            <w:tcBorders/>
            <w:vAlign w:val="bottom"/>
          </w:tcPr>
          <w:p>
            <w:pPr>
              <w:pStyle w:val="TableContents"/>
              <w:bidi w:val="0"/>
              <w:spacing w:before="0" w:after="283"/>
              <w:jc w:val="left"/>
              <w:rPr/>
            </w:pPr>
            <w:r>
              <w:rPr/>
              <w:t> </w:t>
            </w:r>
          </w:p>
        </w:tc>
        <w:tc>
          <w:tcPr>
            <w:tcW w:w="160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210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3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1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5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200" w:type="dxa"/>
            <w:tcBorders/>
            <w:vAlign w:val="bottom"/>
          </w:tcPr>
          <w:p>
            <w:pPr>
              <w:pStyle w:val="TableContents"/>
              <w:bidi w:val="0"/>
              <w:spacing w:before="0" w:after="283"/>
              <w:jc w:val="left"/>
              <w:rPr/>
            </w:pPr>
            <w:r>
              <w:rPr/>
              <w:t> </w:t>
            </w:r>
          </w:p>
        </w:tc>
        <w:tc>
          <w:tcPr>
            <w:tcW w:w="94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662" w:type="dxa"/>
            <w:gridSpan w:val="2"/>
            <w:vMerge w:val="continue"/>
            <w:tcBorders/>
            <w:vAlign w:val="bottom"/>
          </w:tcPr>
          <w:p>
            <w:pPr>
              <w:pStyle w:val="Normal"/>
              <w:bidi w:val="0"/>
              <w:jc w:val="left"/>
              <w:rPr/>
            </w:pPr>
            <w:r>
              <w:rPr/>
            </w:r>
          </w:p>
        </w:tc>
        <w:tc>
          <w:tcPr>
            <w:tcW w:w="192" w:type="dxa"/>
            <w:vMerge w:val="continue"/>
            <w:tcBorders/>
            <w:vAlign w:val="bottom"/>
          </w:tcPr>
          <w:p>
            <w:pPr>
              <w:pStyle w:val="Normal"/>
              <w:bidi w:val="0"/>
              <w:jc w:val="left"/>
              <w:rPr/>
            </w:pPr>
            <w:r>
              <w:rPr/>
            </w:r>
          </w:p>
        </w:tc>
        <w:tc>
          <w:tcPr>
            <w:tcW w:w="1606" w:type="dxa"/>
            <w:gridSpan w:val="2"/>
            <w:vMerge w:val="continue"/>
            <w:tcBorders/>
            <w:vAlign w:val="bottom"/>
          </w:tcPr>
          <w:p>
            <w:pPr>
              <w:pStyle w:val="Normal"/>
              <w:bidi w:val="0"/>
              <w:jc w:val="left"/>
              <w:rPr/>
            </w:pPr>
            <w:r>
              <w:rPr/>
            </w:r>
          </w:p>
        </w:tc>
      </w:tr>
      <w:tr>
        <w:trPr/>
        <w:tc>
          <w:tcPr>
            <w:tcW w:w="2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2023 Insurance Note</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w:t>
            </w:r>
          </w:p>
        </w:tc>
        <w:tc>
          <w:tcPr>
            <w:tcW w:w="146"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3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0" w:type="dxa"/>
            <w:tcBorders/>
            <w:shd w:fill="CCEEFF" w:val="clear"/>
            <w:vAlign w:val="bottom"/>
          </w:tcPr>
          <w:p>
            <w:pPr>
              <w:pStyle w:val="TableContents"/>
              <w:bidi w:val="0"/>
              <w:spacing w:before="0" w:after="283"/>
              <w:jc w:val="left"/>
              <w:rPr/>
            </w:pPr>
            <w:r>
              <w:rPr/>
              <w:t>—</w:t>
            </w:r>
          </w:p>
        </w:tc>
        <w:tc>
          <w:tcPr>
            <w:tcW w:w="20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0" w:type="dxa"/>
            <w:tcBorders/>
            <w:shd w:fill="CCEEFF" w:val="clear"/>
            <w:vAlign w:val="bottom"/>
          </w:tcPr>
          <w:p>
            <w:pPr>
              <w:pStyle w:val="TableContents"/>
              <w:bidi w:val="0"/>
              <w:spacing w:before="0" w:after="283"/>
              <w:jc w:val="left"/>
              <w:rPr/>
            </w:pPr>
            <w:r>
              <w:rPr/>
              <w:t>—</w:t>
            </w:r>
          </w:p>
        </w:tc>
        <w:tc>
          <w:tcPr>
            <w:tcW w:w="146"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w:t>
            </w:r>
          </w:p>
        </w:tc>
        <w:tc>
          <w:tcPr>
            <w:tcW w:w="192"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6" w:type="dxa"/>
            <w:tcBorders/>
            <w:shd w:fill="CCEEFF" w:val="clear"/>
            <w:vAlign w:val="bottom"/>
          </w:tcPr>
          <w:p>
            <w:pPr>
              <w:pStyle w:val="TableContents"/>
              <w:bidi w:val="0"/>
              <w:spacing w:before="0" w:after="283"/>
              <w:jc w:val="left"/>
              <w:rPr/>
            </w:pPr>
            <w:r>
              <w:rPr/>
              <w:t>—</w:t>
            </w:r>
          </w:p>
        </w:tc>
      </w:tr>
      <w:tr>
        <w:trPr/>
        <w:tc>
          <w:tcPr>
            <w:tcW w:w="2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 Insurance Note</w:t>
            </w:r>
          </w:p>
        </w:tc>
        <w:tc>
          <w:tcPr>
            <w:tcW w:w="146"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146" w:type="dxa"/>
            <w:tcBorders/>
            <w:vAlign w:val="bottom"/>
          </w:tcPr>
          <w:p>
            <w:pPr>
              <w:pStyle w:val="TableContents"/>
              <w:bidi w:val="0"/>
              <w:spacing w:before="0" w:after="283"/>
              <w:jc w:val="left"/>
              <w:rPr/>
            </w:pPr>
            <w:r>
              <w:rPr/>
              <w:t> </w:t>
            </w:r>
          </w:p>
        </w:tc>
        <w:tc>
          <w:tcPr>
            <w:tcW w:w="5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37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00"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0" w:type="dxa"/>
            <w:tcBorders/>
            <w:vAlign w:val="bottom"/>
          </w:tcPr>
          <w:p>
            <w:pPr>
              <w:pStyle w:val="TableContents"/>
              <w:bidi w:val="0"/>
              <w:spacing w:before="0" w:after="283"/>
              <w:jc w:val="left"/>
              <w:rPr/>
            </w:pPr>
            <w:r>
              <w:rPr/>
              <w:t>—</w:t>
            </w:r>
          </w:p>
        </w:tc>
        <w:tc>
          <w:tcPr>
            <w:tcW w:w="146" w:type="dxa"/>
            <w:tcBorders/>
            <w:vAlign w:val="bottom"/>
          </w:tcPr>
          <w:p>
            <w:pPr>
              <w:pStyle w:val="TableContents"/>
              <w:bidi w:val="0"/>
              <w:spacing w:before="0" w:after="283"/>
              <w:jc w:val="left"/>
              <w:rPr/>
            </w:pPr>
            <w:r>
              <w:rPr/>
              <w:t> </w:t>
            </w:r>
          </w:p>
        </w:tc>
        <w:tc>
          <w:tcPr>
            <w:tcW w:w="5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0" w:type="dxa"/>
            <w:tcBorders/>
            <w:vAlign w:val="bottom"/>
          </w:tcPr>
          <w:p>
            <w:pPr>
              <w:pStyle w:val="TableContents"/>
              <w:bidi w:val="0"/>
              <w:spacing w:before="0" w:after="283"/>
              <w:jc w:val="left"/>
              <w:rPr/>
            </w:pPr>
            <w:r>
              <w:rPr/>
              <w:t>—</w:t>
            </w:r>
          </w:p>
        </w:tc>
        <w:tc>
          <w:tcPr>
            <w:tcW w:w="192" w:type="dxa"/>
            <w:tcBorders/>
            <w:vAlign w:val="bottom"/>
          </w:tcPr>
          <w:p>
            <w:pPr>
              <w:pStyle w:val="TableContents"/>
              <w:bidi w:val="0"/>
              <w:spacing w:before="0" w:after="283"/>
              <w:jc w:val="left"/>
              <w:rPr/>
            </w:pPr>
            <w:r>
              <w:rPr/>
              <w:t> </w:t>
            </w:r>
          </w:p>
        </w:tc>
        <w:tc>
          <w:tcPr>
            <w:tcW w:w="4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6" w:type="dxa"/>
            <w:tcBorders/>
            <w:vAlign w:val="bottom"/>
          </w:tcPr>
          <w:p>
            <w:pPr>
              <w:pStyle w:val="TableContents"/>
              <w:bidi w:val="0"/>
              <w:spacing w:before="0" w:after="283"/>
              <w:jc w:val="left"/>
              <w:rPr/>
            </w:pPr>
            <w:r>
              <w:rPr/>
              <w:t>—</w:t>
            </w:r>
          </w:p>
        </w:tc>
      </w:tr>
      <w:tr>
        <w:trPr/>
        <w:tc>
          <w:tcPr>
            <w:tcW w:w="2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 Insurance Note</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146"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3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20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0" w:type="dxa"/>
            <w:tcBorders/>
            <w:shd w:fill="CCEEFF" w:val="clear"/>
            <w:vAlign w:val="bottom"/>
          </w:tcPr>
          <w:p>
            <w:pPr>
              <w:pStyle w:val="TableContents"/>
              <w:bidi w:val="0"/>
              <w:spacing w:before="0" w:after="283"/>
              <w:jc w:val="left"/>
              <w:rPr/>
            </w:pPr>
            <w:r>
              <w:rPr/>
              <w:t>—</w:t>
            </w:r>
          </w:p>
        </w:tc>
        <w:tc>
          <w:tcPr>
            <w:tcW w:w="192"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r>
      <w:tr>
        <w:trPr/>
        <w:tc>
          <w:tcPr>
            <w:tcW w:w="2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 Insurance Note</w:t>
            </w:r>
          </w:p>
        </w:tc>
        <w:tc>
          <w:tcPr>
            <w:tcW w:w="146"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w:t>
            </w:r>
          </w:p>
        </w:tc>
        <w:tc>
          <w:tcPr>
            <w:tcW w:w="146" w:type="dxa"/>
            <w:tcBorders/>
            <w:vAlign w:val="bottom"/>
          </w:tcPr>
          <w:p>
            <w:pPr>
              <w:pStyle w:val="TableContents"/>
              <w:bidi w:val="0"/>
              <w:spacing w:before="0" w:after="283"/>
              <w:jc w:val="left"/>
              <w:rPr/>
            </w:pPr>
            <w:r>
              <w:rPr/>
              <w:t> </w:t>
            </w:r>
          </w:p>
        </w:tc>
        <w:tc>
          <w:tcPr>
            <w:tcW w:w="5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37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0" w:type="dxa"/>
            <w:tcBorders/>
            <w:vAlign w:val="bottom"/>
          </w:tcPr>
          <w:p>
            <w:pPr>
              <w:pStyle w:val="TableContents"/>
              <w:bidi w:val="0"/>
              <w:spacing w:before="0" w:after="283"/>
              <w:jc w:val="left"/>
              <w:rPr/>
            </w:pPr>
            <w:r>
              <w:rPr/>
              <w:t>—</w:t>
            </w:r>
          </w:p>
        </w:tc>
        <w:tc>
          <w:tcPr>
            <w:tcW w:w="200"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146" w:type="dxa"/>
            <w:tcBorders/>
            <w:vAlign w:val="bottom"/>
          </w:tcPr>
          <w:p>
            <w:pPr>
              <w:pStyle w:val="TableContents"/>
              <w:bidi w:val="0"/>
              <w:spacing w:before="0" w:after="283"/>
              <w:jc w:val="left"/>
              <w:rPr/>
            </w:pPr>
            <w:r>
              <w:rPr/>
              <w:t> </w:t>
            </w:r>
          </w:p>
        </w:tc>
        <w:tc>
          <w:tcPr>
            <w:tcW w:w="5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0" w:type="dxa"/>
            <w:tcBorders/>
            <w:vAlign w:val="bottom"/>
          </w:tcPr>
          <w:p>
            <w:pPr>
              <w:pStyle w:val="TableContents"/>
              <w:bidi w:val="0"/>
              <w:spacing w:before="0" w:after="283"/>
              <w:jc w:val="left"/>
              <w:rPr/>
            </w:pPr>
            <w:r>
              <w:rPr/>
              <w:t>—</w:t>
            </w:r>
          </w:p>
        </w:tc>
        <w:tc>
          <w:tcPr>
            <w:tcW w:w="192" w:type="dxa"/>
            <w:tcBorders/>
            <w:vAlign w:val="bottom"/>
          </w:tcPr>
          <w:p>
            <w:pPr>
              <w:pStyle w:val="TableContents"/>
              <w:bidi w:val="0"/>
              <w:spacing w:before="0" w:after="283"/>
              <w:jc w:val="left"/>
              <w:rPr/>
            </w:pPr>
            <w:r>
              <w:rPr/>
              <w:t> </w:t>
            </w:r>
          </w:p>
        </w:tc>
        <w:tc>
          <w:tcPr>
            <w:tcW w:w="4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6" w:type="dxa"/>
            <w:tcBorders/>
            <w:vAlign w:val="bottom"/>
          </w:tcPr>
          <w:p>
            <w:pPr>
              <w:pStyle w:val="TableContents"/>
              <w:bidi w:val="0"/>
              <w:spacing w:before="0" w:after="283"/>
              <w:jc w:val="left"/>
              <w:rPr/>
            </w:pPr>
            <w:r>
              <w:rPr/>
              <w:t>—</w:t>
            </w:r>
          </w:p>
        </w:tc>
      </w:tr>
      <w:tr>
        <w:trPr/>
        <w:tc>
          <w:tcPr>
            <w:tcW w:w="21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200" w:type="dxa"/>
            <w:tcBorders/>
            <w:shd w:fill="CCEEFF" w:val="clear"/>
            <w:vAlign w:val="bottom"/>
          </w:tcPr>
          <w:p>
            <w:pPr>
              <w:pStyle w:val="TableContents"/>
              <w:bidi w:val="0"/>
              <w:spacing w:before="0" w:after="283"/>
              <w:jc w:val="left"/>
              <w:rPr/>
            </w:pPr>
            <w:r>
              <w:rPr/>
              <w:t> </w:t>
            </w:r>
          </w:p>
        </w:tc>
        <w:tc>
          <w:tcPr>
            <w:tcW w:w="30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w:t>
            </w:r>
          </w:p>
        </w:tc>
        <w:tc>
          <w:tcPr>
            <w:tcW w:w="146" w:type="dxa"/>
            <w:tcBorders/>
            <w:shd w:fill="CCEEFF" w:val="clear"/>
            <w:vAlign w:val="bottom"/>
          </w:tcPr>
          <w:p>
            <w:pPr>
              <w:pStyle w:val="TableContents"/>
              <w:bidi w:val="0"/>
              <w:spacing w:before="0" w:after="283"/>
              <w:jc w:val="left"/>
              <w:rPr/>
            </w:pPr>
            <w:r>
              <w:rPr/>
              <w:t> </w:t>
            </w:r>
          </w:p>
        </w:tc>
        <w:tc>
          <w:tcPr>
            <w:tcW w:w="5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w:t>
            </w:r>
          </w:p>
        </w:tc>
        <w:tc>
          <w:tcPr>
            <w:tcW w:w="192" w:type="dxa"/>
            <w:tcBorders/>
            <w:shd w:fill="CCEEFF" w:val="clear"/>
            <w:vAlign w:val="bottom"/>
          </w:tcPr>
          <w:p>
            <w:pPr>
              <w:pStyle w:val="TableContents"/>
              <w:bidi w:val="0"/>
              <w:spacing w:before="0" w:after="283"/>
              <w:jc w:val="left"/>
              <w:rPr/>
            </w:pPr>
            <w:r>
              <w:rPr/>
              <w:t> </w:t>
            </w:r>
          </w:p>
        </w:tc>
        <w:tc>
          <w:tcPr>
            <w:tcW w:w="4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2023, in connection with the Business Combination, the Company cancelled the 2023 Insurance Note and replaced it with the New 2023 Insurance Note. Accordingly, the Company reversed the unpaid balance of approximately $38,000 from notes payable and prepaid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determined that the carrying amounts of all of the insurance notes approximate fair value due to the short-term nature of borrowings and current market rates of interest.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PPP Loan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13, 2020, the Company entered into a promissory note with JPMorgan Chase Bank, N.A., as lender, pursuant to the Paycheck Protection Program (“PPP”) of the Coronavirus Aid, Relief, and Economic Security Act (“CARES Act”) for $768,575 (the “PPP Loan”). The PPP Loan, which matured on April 13, 2022 and bears interest at 1% per annum. Beginning on September 13, 2021, the Company was required to make equal monthly payments of principal and interest until the loan maturity on April 13, 2022. The PPP Loan was subject to customary terms for payment defaults and breaches of representations and warranties. The Company did not request the PPP Loan to be forgiven. During the nine months ended September 30, 2022, the Company repaid the remaining $0.4 million of principal and interest for the PPP Loan. There was no outstanding balance for the PPP Loan as of December 31, 2022.</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8. COMMITMENTS AND CONTINGENCIES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9. 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leases office space for its principal office in Dallas, Texas, which was extended during 2022 to expire in May 2024. This lease was extended again in 2023 to expire in December 2024. During 2022, the Company entered into a lease for office space in the United Kingdom under a lease that expired in May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2023, the Company entered into a lease for office space in the United Kingdom for annual payments of $0.1 million under a lease that expires in March 2024. The lease has been excluded from the tables below as the term is twelve months.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9. LEASES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quantitative information about the Company’s operating leases for the three and nine months ended September 30, 2023 and 2022 (dollars in thousands):</w:t>
      </w:r>
    </w:p>
    <w:tbl>
      <w:tblPr>
        <w:tblW w:w="10205" w:type="dxa"/>
        <w:jc w:val="left"/>
        <w:tblInd w:w="0" w:type="dxa"/>
        <w:tblLayout w:type="fixed"/>
        <w:tblCellMar>
          <w:top w:w="0" w:type="dxa"/>
          <w:left w:w="0" w:type="dxa"/>
          <w:bottom w:w="0" w:type="dxa"/>
          <w:right w:w="0" w:type="dxa"/>
        </w:tblCellMar>
      </w:tblPr>
      <w:tblGrid>
        <w:gridCol w:w="5558"/>
        <w:gridCol w:w="146"/>
        <w:gridCol w:w="236"/>
        <w:gridCol w:w="489"/>
        <w:gridCol w:w="300"/>
        <w:gridCol w:w="153"/>
        <w:gridCol w:w="236"/>
        <w:gridCol w:w="489"/>
        <w:gridCol w:w="300"/>
        <w:gridCol w:w="146"/>
        <w:gridCol w:w="226"/>
        <w:gridCol w:w="466"/>
        <w:gridCol w:w="286"/>
        <w:gridCol w:w="146"/>
        <w:gridCol w:w="226"/>
        <w:gridCol w:w="466"/>
        <w:gridCol w:w="336"/>
      </w:tblGrid>
      <w:tr>
        <w:trPr/>
        <w:tc>
          <w:tcPr>
            <w:tcW w:w="555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03"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September 30,</w:t>
            </w:r>
          </w:p>
        </w:tc>
        <w:tc>
          <w:tcPr>
            <w:tcW w:w="146" w:type="dxa"/>
            <w:tcBorders/>
            <w:vAlign w:val="bottom"/>
          </w:tcPr>
          <w:p>
            <w:pPr>
              <w:pStyle w:val="TableContents"/>
              <w:bidi w:val="0"/>
              <w:spacing w:before="0" w:after="283"/>
              <w:jc w:val="left"/>
              <w:rPr/>
            </w:pPr>
            <w:r>
              <w:rPr/>
              <w:t> </w:t>
            </w:r>
          </w:p>
        </w:tc>
        <w:tc>
          <w:tcPr>
            <w:tcW w:w="215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 Ended</w:t>
              <w:br/>
              <w:t>September 30,</w:t>
            </w:r>
          </w:p>
        </w:tc>
      </w:tr>
      <w:tr>
        <w:trPr/>
        <w:tc>
          <w:tcPr>
            <w:tcW w:w="55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5"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53" w:type="dxa"/>
            <w:tcBorders/>
            <w:vAlign w:val="bottom"/>
          </w:tcPr>
          <w:p>
            <w:pPr>
              <w:pStyle w:val="TableContents"/>
              <w:bidi w:val="0"/>
              <w:spacing w:before="0" w:after="283"/>
              <w:jc w:val="left"/>
              <w:rPr/>
            </w:pPr>
            <w:r>
              <w:rPr/>
              <w:t> </w:t>
            </w:r>
          </w:p>
        </w:tc>
        <w:tc>
          <w:tcPr>
            <w:tcW w:w="1025"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0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5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flows from operating leases</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3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3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w:t>
            </w:r>
          </w:p>
        </w:tc>
        <w:tc>
          <w:tcPr>
            <w:tcW w:w="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5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 exchanged for operating lease liabilities</w:t>
            </w:r>
          </w:p>
        </w:tc>
        <w:tc>
          <w:tcPr>
            <w:tcW w:w="146"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9" w:type="dxa"/>
            <w:tcBorders/>
            <w:vAlign w:val="bottom"/>
          </w:tcPr>
          <w:p>
            <w:pPr>
              <w:pStyle w:val="TableContents"/>
              <w:bidi w:val="0"/>
              <w:spacing w:before="0" w:after="283"/>
              <w:jc w:val="left"/>
              <w:rPr/>
            </w:pPr>
            <w:r>
              <w:rPr/>
              <w:t>—</w:t>
            </w:r>
          </w:p>
        </w:tc>
        <w:tc>
          <w:tcPr>
            <w:tcW w:w="3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9" w:type="dxa"/>
            <w:tcBorders/>
            <w:vAlign w:val="bottom"/>
          </w:tcPr>
          <w:p>
            <w:pPr>
              <w:pStyle w:val="TableContents"/>
              <w:bidi w:val="0"/>
              <w:spacing w:before="0" w:after="283"/>
              <w:jc w:val="left"/>
              <w:rPr/>
            </w:pPr>
            <w:r>
              <w:rPr/>
              <w:t>—</w:t>
            </w:r>
          </w:p>
        </w:tc>
        <w:tc>
          <w:tcPr>
            <w:tcW w:w="3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w:t>
            </w:r>
          </w:p>
        </w:tc>
        <w:tc>
          <w:tcPr>
            <w:tcW w:w="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5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(in years)</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3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3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5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3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3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3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the components of the Company’s lease cost included in general and administrative expense in the condensed consolidated statement of operations (in thousands):</w:t>
      </w:r>
    </w:p>
    <w:tbl>
      <w:tblPr>
        <w:tblW w:w="7745" w:type="dxa"/>
        <w:jc w:val="left"/>
        <w:tblInd w:w="0" w:type="dxa"/>
        <w:tblLayout w:type="fixed"/>
        <w:tblCellMar>
          <w:top w:w="0" w:type="dxa"/>
          <w:left w:w="0" w:type="dxa"/>
          <w:bottom w:w="0" w:type="dxa"/>
          <w:right w:w="0" w:type="dxa"/>
        </w:tblCellMar>
      </w:tblPr>
      <w:tblGrid>
        <w:gridCol w:w="3091"/>
        <w:gridCol w:w="146"/>
        <w:gridCol w:w="327"/>
        <w:gridCol w:w="675"/>
        <w:gridCol w:w="211"/>
        <w:gridCol w:w="327"/>
        <w:gridCol w:w="679"/>
        <w:gridCol w:w="146"/>
        <w:gridCol w:w="307"/>
        <w:gridCol w:w="633"/>
        <w:gridCol w:w="198"/>
        <w:gridCol w:w="307"/>
        <w:gridCol w:w="698"/>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19"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September 30,</w:t>
            </w:r>
          </w:p>
        </w:tc>
        <w:tc>
          <w:tcPr>
            <w:tcW w:w="146" w:type="dxa"/>
            <w:tcBorders/>
            <w:vAlign w:val="bottom"/>
          </w:tcPr>
          <w:p>
            <w:pPr>
              <w:pStyle w:val="TableContents"/>
              <w:bidi w:val="0"/>
              <w:spacing w:before="0" w:after="283"/>
              <w:jc w:val="left"/>
              <w:rPr/>
            </w:pPr>
            <w:r>
              <w:rPr/>
              <w:t> </w:t>
            </w:r>
          </w:p>
        </w:tc>
        <w:tc>
          <w:tcPr>
            <w:tcW w:w="214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 Ended</w:t>
              <w:br/>
              <w:t>September 30,</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211"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98" w:type="dxa"/>
            <w:tcBorders/>
            <w:vAlign w:val="bottom"/>
          </w:tcPr>
          <w:p>
            <w:pPr>
              <w:pStyle w:val="TableContents"/>
              <w:bidi w:val="0"/>
              <w:spacing w:before="0" w:after="283"/>
              <w:jc w:val="left"/>
              <w:rPr/>
            </w:pPr>
            <w:r>
              <w:rPr/>
              <w:t> </w:t>
            </w:r>
          </w:p>
        </w:tc>
        <w:tc>
          <w:tcPr>
            <w:tcW w:w="100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7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3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98" w:type="dxa"/>
            <w:tcBorders/>
            <w:shd w:fill="CCEEFF" w:val="clear"/>
            <w:vAlign w:val="bottom"/>
          </w:tcPr>
          <w:p>
            <w:pPr>
              <w:pStyle w:val="TableContents"/>
              <w:bidi w:val="0"/>
              <w:spacing w:before="0" w:after="283"/>
              <w:jc w:val="left"/>
              <w:rPr/>
            </w:pPr>
            <w:r>
              <w:rPr/>
              <w:t> </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w:t>
            </w:r>
          </w:p>
        </w:tc>
        <w:tc>
          <w:tcPr>
            <w:tcW w:w="211"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w:t>
            </w:r>
          </w:p>
        </w:tc>
        <w:tc>
          <w:tcPr>
            <w:tcW w:w="198"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lease cost</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7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211"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w:t>
            </w:r>
          </w:p>
        </w:tc>
        <w:tc>
          <w:tcPr>
            <w:tcW w:w="198"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expense</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7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w:t>
            </w:r>
          </w:p>
        </w:tc>
        <w:tc>
          <w:tcPr>
            <w:tcW w:w="211"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146"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w:t>
            </w:r>
          </w:p>
        </w:tc>
        <w:tc>
          <w:tcPr>
            <w:tcW w:w="198" w:type="dxa"/>
            <w:tcBorders/>
            <w:vAlign w:val="bottom"/>
          </w:tcPr>
          <w:p>
            <w:pPr>
              <w:pStyle w:val="TableContents"/>
              <w:bidi w:val="0"/>
              <w:spacing w:before="0" w:after="283"/>
              <w:jc w:val="left"/>
              <w:rPr/>
            </w:pPr>
            <w:r>
              <w:rPr/>
              <w:t> </w:t>
            </w:r>
          </w:p>
        </w:tc>
        <w:tc>
          <w:tcPr>
            <w:tcW w:w="30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rent expense</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7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211"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79" w:type="dxa"/>
            <w:tcBorders/>
            <w:shd w:fill="CCEEFF" w:val="clear"/>
            <w:vAlign w:val="bottom"/>
          </w:tcPr>
          <w:p>
            <w:pPr>
              <w:pStyle w:val="TableContents"/>
              <w:bidi w:val="0"/>
              <w:spacing w:before="0" w:after="283"/>
              <w:jc w:val="left"/>
              <w:rPr/>
            </w:pPr>
            <w:r>
              <w:rPr/>
              <w:t>—</w:t>
            </w:r>
          </w:p>
        </w:tc>
        <w:tc>
          <w:tcPr>
            <w:tcW w:w="14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98"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8" w:type="dxa"/>
            <w:tcBorders/>
            <w:shd w:fill="CCEEFF" w:val="clear"/>
            <w:vAlign w:val="bottom"/>
          </w:tcPr>
          <w:p>
            <w:pPr>
              <w:pStyle w:val="TableContents"/>
              <w:bidi w:val="0"/>
              <w:spacing w:before="0" w:after="283"/>
              <w:jc w:val="left"/>
              <w:rPr/>
            </w:pPr>
            <w:r>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rent expense</w:t>
            </w:r>
          </w:p>
        </w:tc>
        <w:tc>
          <w:tcPr>
            <w:tcW w:w="146" w:type="dxa"/>
            <w:tcBorders/>
            <w:vAlign w:val="bottom"/>
          </w:tcPr>
          <w:p>
            <w:pPr>
              <w:pStyle w:val="TableContents"/>
              <w:bidi w:val="0"/>
              <w:spacing w:before="0" w:after="283"/>
              <w:jc w:val="left"/>
              <w:rPr/>
            </w:pPr>
            <w:r>
              <w:rPr/>
              <w:t> </w:t>
            </w:r>
          </w:p>
        </w:tc>
        <w:tc>
          <w:tcPr>
            <w:tcW w:w="32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w:t>
            </w:r>
          </w:p>
        </w:tc>
        <w:tc>
          <w:tcPr>
            <w:tcW w:w="211" w:type="dxa"/>
            <w:tcBorders/>
            <w:vAlign w:val="bottom"/>
          </w:tcPr>
          <w:p>
            <w:pPr>
              <w:pStyle w:val="TableContents"/>
              <w:bidi w:val="0"/>
              <w:spacing w:before="0" w:after="283"/>
              <w:jc w:val="left"/>
              <w:rPr/>
            </w:pPr>
            <w:r>
              <w:rPr/>
              <w:t> </w:t>
            </w:r>
          </w:p>
        </w:tc>
        <w:tc>
          <w:tcPr>
            <w:tcW w:w="32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146" w:type="dxa"/>
            <w:tcBorders/>
            <w:vAlign w:val="bottom"/>
          </w:tcPr>
          <w:p>
            <w:pPr>
              <w:pStyle w:val="TableContents"/>
              <w:bidi w:val="0"/>
              <w:spacing w:before="0" w:after="283"/>
              <w:jc w:val="left"/>
              <w:rPr/>
            </w:pPr>
            <w:r>
              <w:rPr/>
              <w:t> </w:t>
            </w:r>
          </w:p>
        </w:tc>
        <w:tc>
          <w:tcPr>
            <w:tcW w:w="30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w:t>
            </w:r>
          </w:p>
        </w:tc>
        <w:tc>
          <w:tcPr>
            <w:tcW w:w="198" w:type="dxa"/>
            <w:tcBorders/>
            <w:vAlign w:val="bottom"/>
          </w:tcPr>
          <w:p>
            <w:pPr>
              <w:pStyle w:val="TableContents"/>
              <w:bidi w:val="0"/>
              <w:spacing w:before="0" w:after="283"/>
              <w:jc w:val="left"/>
              <w:rPr/>
            </w:pPr>
            <w:r>
              <w:rPr/>
              <w:t> </w:t>
            </w:r>
          </w:p>
        </w:tc>
        <w:tc>
          <w:tcPr>
            <w:tcW w:w="30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lease cost is primarily attributable to amounts paid to lessors for utility charges, parking and property taxes under an office space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2023, future minimum payments under the non-cancelable operating leases under ASC 842 were as follows (in thousands):</w:t>
      </w:r>
    </w:p>
    <w:tbl>
      <w:tblPr>
        <w:tblW w:w="5400" w:type="dxa"/>
        <w:jc w:val="left"/>
        <w:tblInd w:w="0" w:type="dxa"/>
        <w:tblLayout w:type="fixed"/>
        <w:tblCellMar>
          <w:top w:w="0" w:type="dxa"/>
          <w:left w:w="0" w:type="dxa"/>
          <w:bottom w:w="0" w:type="dxa"/>
          <w:right w:w="0" w:type="dxa"/>
        </w:tblCellMar>
      </w:tblPr>
      <w:tblGrid>
        <w:gridCol w:w="4156"/>
        <w:gridCol w:w="146"/>
        <w:gridCol w:w="226"/>
        <w:gridCol w:w="646"/>
        <w:gridCol w:w="226"/>
      </w:tblGrid>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Three months ending December 31, 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ending December 31, 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10. STOCKHOLDERS’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conjunction of the Closing, the Company’s certificate of incorporation was amended and restated to authorize the issuance of 80,000,000 shares of Company Common Stock, $0.0001 par value and 1,000,000 shares of preferred stock, $0.0001 par value (the “Company Preferred Stock”).</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11. 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option and warrant to purchase common stock of Legacy Spectral was converted into an option and warrant, respectively, to purchase Spectral AI’s common stock based on the Exchange Ratio, with corresponding adjustments to the exercise price. Accordingly, the options and warrants to purchase 46,592,862 and 762,712, respectively, shares of the common stock of Legacy Spectral were converted into options and warrants to purchase 4,519,191 and 73,978, respectively, shares of Spectral AI’s common stock. Legacy Spectral’s 600,000 RSUs were converted into 58,196 Spectral AI RSUs, based on the Exchange Ratio.</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11. STOCK-BASED COMPENSATION</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2018 Long Term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24, 2018, Legacy Spectral’s Board of Directors adopted the 2018 Long Term Incentive Plan (the “2018 Plan”) which permits granting of incentive stock options (they must meet all statutory requirements), non-qualified stock options, stock appreciation rights, restricted stock, stock units, performance shares, performance units, incentive bonus awards, and other cash-based or stock-based awards. Pursuant to the 2018 Plan, stock options must expire within 10 years and must be granted with exercise prices of no less than the fair value of the common stock on the grant date, as determined by Legacy Spectral’s Board of Directors. As of September 30, 2023, 3,720,089 shares of common stock were authorized for issuance under the 2018 Plan, of which 47,036 remain available for issuance. See Note 15.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 Long Term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27, 2022, Legacy Spectral’s stockholders approved the adoption of the 2022 Long Term Incentive Plan (the “2022 Plan”) which permits granting of incentive stock options (they must meet all statutory requirements), non-qualified stock options, stock appreciation rights, restricted stock, stock units, performance shares, performance units, incentive bonus awards, and other cash-based or stock-based awards. Pursuant to the 2022 Plan, stock options must expire within 10 years and must be granted with exercise prices of no less than the fair value of the common stock on the grant date, as determined by Legacy Spectral’s Board of Directors. As of September 30, 2023, 1,939,864 shares of common stock were authorized for issuance under the 2022 Plan, of which 1,792,918 remain available for issuance. See Note 15.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Restricted Stock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RSAs generally vest over four years. A summary of RSA activities for the nine months ended September 30, 2023 are presented below:</w:t>
      </w:r>
    </w:p>
    <w:tbl>
      <w:tblPr>
        <w:tblW w:w="6489" w:type="dxa"/>
        <w:jc w:val="left"/>
        <w:tblInd w:w="0" w:type="dxa"/>
        <w:tblLayout w:type="fixed"/>
        <w:tblCellMar>
          <w:top w:w="0" w:type="dxa"/>
          <w:left w:w="0" w:type="dxa"/>
          <w:bottom w:w="0" w:type="dxa"/>
          <w:right w:w="0" w:type="dxa"/>
        </w:tblCellMar>
      </w:tblPr>
      <w:tblGrid>
        <w:gridCol w:w="3736"/>
        <w:gridCol w:w="146"/>
        <w:gridCol w:w="975"/>
        <w:gridCol w:w="210"/>
        <w:gridCol w:w="146"/>
        <w:gridCol w:w="361"/>
        <w:gridCol w:w="915"/>
      </w:tblGrid>
      <w:tr>
        <w:trPr/>
        <w:tc>
          <w:tcPr>
            <w:tcW w:w="37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Number of</w:t>
              <w:br/>
              <w:t>Shares</w:t>
            </w:r>
          </w:p>
        </w:tc>
        <w:tc>
          <w:tcPr>
            <w:tcW w:w="146" w:type="dxa"/>
            <w:tcBorders/>
            <w:vAlign w:val="bottom"/>
          </w:tcPr>
          <w:p>
            <w:pPr>
              <w:pStyle w:val="TableContents"/>
              <w:bidi w:val="0"/>
              <w:spacing w:before="0" w:after="283"/>
              <w:jc w:val="left"/>
              <w:rPr/>
            </w:pPr>
            <w:r>
              <w:rPr/>
              <w:t> </w:t>
            </w:r>
          </w:p>
        </w:tc>
        <w:tc>
          <w:tcPr>
            <w:tcW w:w="127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Weighted</w:t>
              <w:br/>
              <w:t>Average</w:t>
              <w:br/>
              <w:t>Grant Date</w:t>
              <w:br/>
              <w:t>Fair Value</w:t>
              <w:br/>
              <w:t>per Share</w:t>
              <w:br/>
              <w:t>US$</w:t>
            </w:r>
          </w:p>
        </w:tc>
      </w:tr>
      <w:tr>
        <w:trPr/>
        <w:tc>
          <w:tcPr>
            <w:tcW w:w="3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January 1, 2023</w:t>
            </w:r>
          </w:p>
        </w:tc>
        <w:tc>
          <w:tcPr>
            <w:tcW w:w="14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30,318</w:t>
            </w:r>
          </w:p>
        </w:tc>
        <w:tc>
          <w:tcPr>
            <w:tcW w:w="2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r>
      <w:tr>
        <w:trPr/>
        <w:tc>
          <w:tcPr>
            <w:tcW w:w="37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vAlign w:val="bottom"/>
          </w:tcPr>
          <w:p>
            <w:pPr>
              <w:pStyle w:val="TableContents"/>
              <w:bidi w:val="0"/>
              <w:spacing w:before="0" w:after="283"/>
              <w:jc w:val="left"/>
              <w:rPr/>
            </w:pPr>
            <w:r>
              <w:rPr/>
              <w:t> </w:t>
            </w:r>
          </w:p>
        </w:tc>
        <w:tc>
          <w:tcPr>
            <w:tcW w:w="97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(30,318</w:t>
            </w:r>
          </w:p>
        </w:tc>
        <w:tc>
          <w:tcPr>
            <w:tcW w:w="2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r>
      <w:tr>
        <w:trPr/>
        <w:tc>
          <w:tcPr>
            <w:tcW w:w="3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September 30, 2023</w:t>
            </w:r>
          </w:p>
        </w:tc>
        <w:tc>
          <w:tcPr>
            <w:tcW w:w="146" w:type="dxa"/>
            <w:tcBorders/>
            <w:shd w:fill="CCEEFF" w:val="clear"/>
            <w:vAlign w:val="bottom"/>
          </w:tcPr>
          <w:p>
            <w:pPr>
              <w:pStyle w:val="TableContents"/>
              <w:bidi w:val="0"/>
              <w:spacing w:before="0" w:after="283"/>
              <w:jc w:val="left"/>
              <w:rPr/>
            </w:pPr>
            <w:r>
              <w:rPr/>
              <w:t> </w:t>
            </w:r>
          </w:p>
        </w:tc>
        <w:tc>
          <w:tcPr>
            <w:tcW w:w="975" w:type="dxa"/>
            <w:tcBorders>
              <w:bottom w:val="double" w:sz="2" w:space="0" w:color="000000"/>
            </w:tcBorders>
            <w:shd w:fill="CCEEFF" w:val="clear"/>
            <w:tcMar>
              <w:bottom w:w="28" w:type="dxa"/>
            </w:tcMar>
            <w:vAlign w:val="bottom"/>
          </w:tcPr>
          <w:p>
            <w:pPr>
              <w:pStyle w:val="TableContents"/>
              <w:bidi w:val="0"/>
              <w:spacing w:before="0" w:after="283"/>
              <w:jc w:val="left"/>
              <w:rPr/>
            </w:pPr>
            <w:r>
              <w:rPr/>
              <w:t>—</w:t>
            </w:r>
          </w:p>
        </w:tc>
        <w:tc>
          <w:tcPr>
            <w:tcW w:w="2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shd w:fill="CCEEFF" w:val="clear"/>
            <w:vAlign w:val="bottom"/>
          </w:tcPr>
          <w:p>
            <w:pPr>
              <w:pStyle w:val="TableContents"/>
              <w:bidi w:val="0"/>
              <w:spacing w:before="0" w:after="283"/>
              <w:jc w:val="left"/>
              <w:rPr/>
            </w:pPr>
            <w:r>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RSUs generally vest over three years. A summary of RSU activities for the nine months ended September 30, 2023 are presented below:</w:t>
      </w:r>
    </w:p>
    <w:tbl>
      <w:tblPr>
        <w:tblW w:w="6490" w:type="dxa"/>
        <w:jc w:val="left"/>
        <w:tblInd w:w="0" w:type="dxa"/>
        <w:tblLayout w:type="fixed"/>
        <w:tblCellMar>
          <w:top w:w="0" w:type="dxa"/>
          <w:left w:w="0" w:type="dxa"/>
          <w:bottom w:w="0" w:type="dxa"/>
          <w:right w:w="0" w:type="dxa"/>
        </w:tblCellMar>
      </w:tblPr>
      <w:tblGrid>
        <w:gridCol w:w="3736"/>
        <w:gridCol w:w="146"/>
        <w:gridCol w:w="1186"/>
        <w:gridCol w:w="146"/>
        <w:gridCol w:w="361"/>
        <w:gridCol w:w="915"/>
      </w:tblGrid>
      <w:tr>
        <w:trPr/>
        <w:tc>
          <w:tcPr>
            <w:tcW w:w="37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Number of</w:t>
              <w:br/>
              <w:t>Shares</w:t>
            </w:r>
          </w:p>
        </w:tc>
        <w:tc>
          <w:tcPr>
            <w:tcW w:w="146" w:type="dxa"/>
            <w:tcBorders/>
            <w:vAlign w:val="bottom"/>
          </w:tcPr>
          <w:p>
            <w:pPr>
              <w:pStyle w:val="TableContents"/>
              <w:bidi w:val="0"/>
              <w:spacing w:before="0" w:after="283"/>
              <w:jc w:val="left"/>
              <w:rPr/>
            </w:pPr>
            <w:r>
              <w:rPr/>
              <w:t> </w:t>
            </w:r>
          </w:p>
        </w:tc>
        <w:tc>
          <w:tcPr>
            <w:tcW w:w="127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Weighted</w:t>
              <w:br/>
              <w:t>Average</w:t>
              <w:br/>
              <w:t>Grant Date</w:t>
              <w:br/>
              <w:t>Fair Value</w:t>
              <w:br/>
              <w:t>per Share</w:t>
              <w:br/>
              <w:t>US$</w:t>
            </w:r>
          </w:p>
        </w:tc>
      </w:tr>
      <w:tr>
        <w:trPr/>
        <w:tc>
          <w:tcPr>
            <w:tcW w:w="3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January 1, 2023</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shd w:fill="CCEEFF" w:val="clear"/>
            <w:vAlign w:val="bottom"/>
          </w:tcPr>
          <w:p>
            <w:pPr>
              <w:pStyle w:val="TableContents"/>
              <w:bidi w:val="0"/>
              <w:spacing w:before="0" w:after="283"/>
              <w:jc w:val="left"/>
              <w:rPr/>
            </w:pPr>
            <w:r>
              <w:rPr/>
              <w:t>—</w:t>
            </w:r>
          </w:p>
        </w:tc>
      </w:tr>
      <w:tr>
        <w:trPr/>
        <w:tc>
          <w:tcPr>
            <w:tcW w:w="37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58,197</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w:t>
            </w:r>
          </w:p>
        </w:tc>
      </w:tr>
      <w:tr>
        <w:trPr/>
        <w:tc>
          <w:tcPr>
            <w:tcW w:w="37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September 30, 2023</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58,197</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11. STOCK-BASED COMPENSATION</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each employee and non-employee stock option grant is estimated on the date of grant using the Black-Scholes option-pricing model. Legacy Spectral’s stock became publicly traded on July 22, 2021 on the AIM, and lacks company-specific historical and implied volatility information. Therefore, Legacy Spectral estimated its expected stock volatility based on the historical volatility of a publicly traded set of peer companies. Due to the lack of historical exercise history, the expected term of the Legacy Spectral’s stock options for employees has been determined utilizing the simplified method by taking an average of the vesting periods and the original contractual terms for each award.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Legacy Spectral has never paid cash dividends and does not expect to pay any cash dividends in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applying the Black Scholes option pricing model, the Company used the following assumptions for stock options granted in the nine months ended September 30, 2023:</w:t>
      </w:r>
    </w:p>
    <w:tbl>
      <w:tblPr>
        <w:tblW w:w="4468" w:type="dxa"/>
        <w:jc w:val="left"/>
        <w:tblInd w:w="0" w:type="dxa"/>
        <w:tblLayout w:type="fixed"/>
        <w:tblCellMar>
          <w:top w:w="0" w:type="dxa"/>
          <w:left w:w="0" w:type="dxa"/>
          <w:bottom w:w="0" w:type="dxa"/>
          <w:right w:w="0" w:type="dxa"/>
        </w:tblCellMar>
      </w:tblPr>
      <w:tblGrid>
        <w:gridCol w:w="2656"/>
        <w:gridCol w:w="146"/>
        <w:gridCol w:w="347"/>
        <w:gridCol w:w="809"/>
        <w:gridCol w:w="510"/>
      </w:tblGrid>
      <w:tr>
        <w:trPr/>
        <w:tc>
          <w:tcPr>
            <w:tcW w:w="26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66"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w:t>
              <w:br/>
              <w:t>Ended</w:t>
              <w:br/>
              <w:t>September 30,</w:t>
              <w:br/>
              <w:t>2023</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 (per share)</w:t>
            </w:r>
          </w:p>
        </w:tc>
        <w:tc>
          <w:tcPr>
            <w:tcW w:w="14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w:t>
            </w:r>
          </w:p>
        </w:tc>
        <w:tc>
          <w:tcPr>
            <w:tcW w:w="5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(years)</w:t>
            </w:r>
          </w:p>
        </w:tc>
        <w:tc>
          <w:tcPr>
            <w:tcW w:w="146" w:type="dxa"/>
            <w:tcBorders/>
            <w:vAlign w:val="bottom"/>
          </w:tcPr>
          <w:p>
            <w:pPr>
              <w:pStyle w:val="TableContents"/>
              <w:bidi w:val="0"/>
              <w:spacing w:before="0" w:after="283"/>
              <w:jc w:val="left"/>
              <w:rPr/>
            </w:pPr>
            <w:r>
              <w:rPr/>
              <w:t> </w:t>
            </w:r>
          </w:p>
        </w:tc>
        <w:tc>
          <w:tcPr>
            <w:tcW w:w="34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5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Volatility (annual)</w:t>
            </w:r>
          </w:p>
        </w:tc>
        <w:tc>
          <w:tcPr>
            <w:tcW w:w="14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5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vAlign w:val="bottom"/>
          </w:tcPr>
          <w:p>
            <w:pPr>
              <w:pStyle w:val="TableContents"/>
              <w:bidi w:val="0"/>
              <w:spacing w:before="0" w:after="283"/>
              <w:jc w:val="left"/>
              <w:rPr/>
            </w:pPr>
            <w:r>
              <w:rPr/>
              <w:t> </w:t>
            </w:r>
          </w:p>
        </w:tc>
        <w:tc>
          <w:tcPr>
            <w:tcW w:w="34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5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yield (per share)</w:t>
            </w:r>
          </w:p>
        </w:tc>
        <w:tc>
          <w:tcPr>
            <w:tcW w:w="14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5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stock options activity for the nine months ended September 30, 2023 is presented below:</w:t>
      </w:r>
    </w:p>
    <w:tbl>
      <w:tblPr>
        <w:tblW w:w="10205" w:type="dxa"/>
        <w:jc w:val="left"/>
        <w:tblInd w:w="0" w:type="dxa"/>
        <w:tblLayout w:type="fixed"/>
        <w:tblCellMar>
          <w:top w:w="0" w:type="dxa"/>
          <w:left w:w="0" w:type="dxa"/>
          <w:bottom w:w="0" w:type="dxa"/>
          <w:right w:w="0" w:type="dxa"/>
        </w:tblCellMar>
      </w:tblPr>
      <w:tblGrid>
        <w:gridCol w:w="4360"/>
        <w:gridCol w:w="146"/>
        <w:gridCol w:w="1066"/>
        <w:gridCol w:w="181"/>
        <w:gridCol w:w="146"/>
        <w:gridCol w:w="329"/>
        <w:gridCol w:w="767"/>
        <w:gridCol w:w="146"/>
        <w:gridCol w:w="1306"/>
        <w:gridCol w:w="146"/>
        <w:gridCol w:w="396"/>
        <w:gridCol w:w="1216"/>
      </w:tblGrid>
      <w:tr>
        <w:trPr/>
        <w:tc>
          <w:tcPr>
            <w:tcW w:w="43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Stock</w:t>
              <w:br/>
              <w:t>Options</w:t>
            </w:r>
          </w:p>
        </w:tc>
        <w:tc>
          <w:tcPr>
            <w:tcW w:w="146"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Weighted</w:t>
              <w:br/>
              <w:t>Average</w:t>
              <w:br/>
              <w:t>Exercise</w:t>
              <w:br/>
              <w:t>Price</w:t>
              <w:br/>
              <w:t>US$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Weighted</w:t>
              <w:br/>
              <w:t>Average</w:t>
              <w:br/>
              <w:t>Remaining</w:t>
              <w:br/>
              <w:t>Contractual</w:t>
              <w:br/>
              <w:t>Life</w:t>
              <w:br/>
              <w:t>(in years)</w:t>
            </w:r>
          </w:p>
        </w:tc>
        <w:tc>
          <w:tcPr>
            <w:tcW w:w="146" w:type="dxa"/>
            <w:tcBorders/>
            <w:vAlign w:val="bottom"/>
          </w:tcPr>
          <w:p>
            <w:pPr>
              <w:pStyle w:val="TableContents"/>
              <w:bidi w:val="0"/>
              <w:spacing w:before="0" w:after="283"/>
              <w:jc w:val="left"/>
              <w:rPr/>
            </w:pPr>
            <w:r>
              <w:rPr/>
              <w:t> </w:t>
            </w:r>
          </w:p>
        </w:tc>
        <w:tc>
          <w:tcPr>
            <w:tcW w:w="16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Aggregate</w:t>
              <w:br/>
              <w:t>Intrinsic</w:t>
              <w:br/>
              <w:t>Value</w:t>
              <w:br/>
              <w:t>(in thousands)</w:t>
            </w:r>
          </w:p>
        </w:tc>
      </w:tr>
      <w:tr>
        <w:trPr/>
        <w:tc>
          <w:tcPr>
            <w:tcW w:w="43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at January 1, 2023</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3,503,790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6,831</w:t>
            </w:r>
          </w:p>
        </w:tc>
      </w:tr>
      <w:tr>
        <w:trPr/>
        <w:tc>
          <w:tcPr>
            <w:tcW w:w="43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granted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253,250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16" w:type="dxa"/>
            <w:tcBorders/>
            <w:vAlign w:val="bottom"/>
          </w:tcPr>
          <w:p>
            <w:pPr>
              <w:pStyle w:val="TableContents"/>
              <w:bidi w:val="0"/>
              <w:spacing w:before="0" w:after="283"/>
              <w:jc w:val="left"/>
              <w:rPr/>
            </w:pPr>
            <w:r>
              <w:rPr/>
              <w:t> </w:t>
            </w:r>
          </w:p>
        </w:tc>
      </w:tr>
      <w:tr>
        <w:trPr/>
        <w:tc>
          <w:tcPr>
            <w:tcW w:w="43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forfeited</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(15,844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16" w:type="dxa"/>
            <w:tcBorders/>
            <w:shd w:fill="CCEEFF" w:val="clear"/>
            <w:vAlign w:val="bottom"/>
          </w:tcPr>
          <w:p>
            <w:pPr>
              <w:pStyle w:val="TableContents"/>
              <w:bidi w:val="0"/>
              <w:spacing w:before="0" w:after="283"/>
              <w:jc w:val="left"/>
              <w:rPr/>
            </w:pPr>
            <w:r>
              <w:rPr/>
              <w:t> </w:t>
            </w:r>
          </w:p>
        </w:tc>
      </w:tr>
      <w:tr>
        <w:trPr/>
        <w:tc>
          <w:tcPr>
            <w:tcW w:w="43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cancelled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(20,368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16" w:type="dxa"/>
            <w:tcBorders/>
            <w:vAlign w:val="bottom"/>
          </w:tcPr>
          <w:p>
            <w:pPr>
              <w:pStyle w:val="TableContents"/>
              <w:bidi w:val="0"/>
              <w:spacing w:before="0" w:after="283"/>
              <w:jc w:val="left"/>
              <w:rPr/>
            </w:pPr>
            <w:r>
              <w:rPr/>
              <w:t> </w:t>
            </w:r>
          </w:p>
        </w:tc>
      </w:tr>
      <w:tr>
        <w:trPr/>
        <w:tc>
          <w:tcPr>
            <w:tcW w:w="43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exercised</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(126,247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16" w:type="dxa"/>
            <w:tcBorders/>
            <w:shd w:fill="CCEEFF" w:val="clear"/>
            <w:vAlign w:val="bottom"/>
          </w:tcPr>
          <w:p>
            <w:pPr>
              <w:pStyle w:val="TableContents"/>
              <w:bidi w:val="0"/>
              <w:spacing w:before="0" w:after="283"/>
              <w:jc w:val="left"/>
              <w:rPr/>
            </w:pPr>
            <w:r>
              <w:rPr/>
              <w:t> </w:t>
            </w:r>
          </w:p>
        </w:tc>
      </w:tr>
      <w:tr>
        <w:trPr/>
        <w:tc>
          <w:tcPr>
            <w:tcW w:w="43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as of September 30, 2023</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3,594,581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vAlign w:val="bottom"/>
          </w:tcPr>
          <w:p>
            <w:pPr>
              <w:pStyle w:val="TableContents"/>
              <w:bidi w:val="0"/>
              <w:spacing w:before="0" w:after="283"/>
              <w:jc w:val="left"/>
              <w:rPr/>
            </w:pPr>
            <w:r>
              <w:rPr/>
              <w:t> </w:t>
            </w:r>
          </w:p>
        </w:tc>
        <w:tc>
          <w:tcPr>
            <w:tcW w:w="3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2,823</w:t>
            </w:r>
          </w:p>
        </w:tc>
      </w:tr>
      <w:tr>
        <w:trPr/>
        <w:tc>
          <w:tcPr>
            <w:tcW w:w="43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vested and exercisable as of September 30, 2023</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2,847,580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2,752</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stock-based compensation expense for stock options, RSUs and restricted stock awards of $0.3 million and $1.0 million for the three and nine months ended September 30, 2023, respectively, and $0.2 million and $0.9 million for the three and nine months ended September 30, 2022, respectively, in general and administrative expenses in the condensed consolidated statements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2023, there was approximately $1.5 million and $0.2 million of unrecognized stock-based compensation related to stock option grants and restricted stock unit grants, respectively, that will be amortized over a weighted average period of 1.1 years and 1.2 years,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11. STOCK-BASED COMPENSATION</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2018, the Company granted of 973,803 stock options to investors (the “Investor Options”) that were approved by the Board of Directors outside of the 2018 Plan, of which 939,024 Investor Options were outstanding as of December 31, 2022. During September 30, 2023, 34,779 of the Investor Options were exercised and the remaining 904,245 Investor Options are outstanding and will expire in November 2023. The Investor Options have an exercise price of $2.06 per share. As of September 30, 2023, there is no unrecognized stock-based compensation expense related to the Investor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2023, the Company has outstanding stock options, issued to an investor, to purchase 20,369 shares of the Company’s common stock (the “ASC 815 Options”) at a price of $1.96 per share that expire in December 2023. The ASC 815 Options have a grant date fair value of $2.17 per share and are equity-classified stock options in accordance with ASC 815.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an income tax benefit of approximately $54,000 for the three months ended September 30, 2023 and an income tax provision of approximately $32,000 for the nine months ended September 30, 2023, and $85,000 and $91,000 for the three and nine months ended September 30, 2022, respectively. The effective tax rate was (0.5%) and 0.2% for the three and nine months ended September 30, 2023, respectively, and 28.8% and 8.4% for the three and nine months ended September 30, 2022,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provision for interim periods is determined using an estimate of the Company’s annual effective tax rate, adjusted for discrete items arising in that quarter. The Company’s effective tax rate differs from the U.S. statutory tax rate in the three and nine months ended September 30, 2023 primarily due to changes in valuation allowances on deferred tax assets as it is more likely than not that the Company’s deferred tax assets will not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its tax positions on a quarterly basis and revises its estimate accordingly.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NET LOSS PER COMMON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common share attributable to common stockholders are the same for the three and nine months ended September 30, 2023 and 2022, since the inclusion of all potential shares of common stock outstanding would have been anti-dilutive due to the Company’s net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potentially dilutive securities that were excluded from the computation of net loss per common share as of the periods presented because including them would be anti-dilutive.</w:t>
      </w:r>
    </w:p>
    <w:tbl>
      <w:tblPr>
        <w:tblW w:w="5755" w:type="dxa"/>
        <w:jc w:val="left"/>
        <w:tblInd w:w="0" w:type="dxa"/>
        <w:tblLayout w:type="fixed"/>
        <w:tblCellMar>
          <w:top w:w="0" w:type="dxa"/>
          <w:left w:w="0" w:type="dxa"/>
          <w:bottom w:w="0" w:type="dxa"/>
          <w:right w:w="0" w:type="dxa"/>
        </w:tblCellMar>
      </w:tblPr>
      <w:tblGrid>
        <w:gridCol w:w="3166"/>
        <w:gridCol w:w="146"/>
        <w:gridCol w:w="1186"/>
        <w:gridCol w:w="146"/>
        <w:gridCol w:w="1111"/>
      </w:tblGrid>
      <w:tr>
        <w:trPr/>
        <w:tc>
          <w:tcPr>
            <w:tcW w:w="31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options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4,519,195</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4,418,871</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warrants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8,507,311</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73,978</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restricted stock units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58,197</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restricted stock</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54,566</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Potentially dilutive securities</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13,084,703</w:t>
            </w:r>
          </w:p>
        </w:tc>
        <w:tc>
          <w:tcPr>
            <w:tcW w:w="146" w:type="dxa"/>
            <w:tcBorders/>
            <w:shd w:fill="CCEEFF" w:val="clear"/>
            <w:vAlign w:val="bottom"/>
          </w:tcPr>
          <w:p>
            <w:pPr>
              <w:pStyle w:val="TableContents"/>
              <w:bidi w:val="0"/>
              <w:spacing w:before="0" w:after="283"/>
              <w:jc w:val="left"/>
              <w:rPr/>
            </w:pPr>
            <w:r>
              <w:rPr/>
              <w:t> </w:t>
            </w:r>
          </w:p>
        </w:tc>
        <w:tc>
          <w:tcPr>
            <w:tcW w:w="11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4,547,415</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nine months ended September 30, 2023 and 2022, the Company did not have any transactions with related parties.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br/>
        <w:t>Notes to Unaudited Condensed Consolidated Financial Statements</w:t>
        <w:br/>
        <w:t>September 30, 2023 and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October 2023, the Company filed a Form S-1 to register 8,433,231 shares of Company Common Stock issuable upon exercise of the Public Warrants and 10,069,748 shares of Company Common Stock (the “Registration”). In conjunction with the Registration, the Company issued 566,667 shares of Company Common Stock for the Committed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2023, in connection with the Business Combination, the Company’s Board of Directors adopted the 2023 Long Term Incentive Plan (the “2023 Plan”) which permits granting of incentive stock options, non-qualified stock options, restricted stock awards, restricted stock units, stock appreciation rights, bonus awards, dividend equivalents and other cash-based or stock-based awards to employees and non-employees. Pursuant to the 2023 Plan, 8,000,000 shares of common stock were authorized for issuance under the 2023 Plan. The awards issued under the Legacy Spectral’s 2018 Plan and the 2022 Plan will be rolled into the 2023 Plan.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Part</w:t>
      </w:r>
      <w:r>
        <w:rPr>
          <w:rFonts w:ascii="Times New Roman PS Std;serif" w:hAnsi="Times New Roman PS Std;serif"/>
          <w:b/>
          <w:i w:val="false"/>
          <w:caps w:val="false"/>
          <w:smallCaps w:val="false"/>
          <w:sz w:val="20"/>
        </w:rPr>
        <w: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13. Other Expenses of Issuance and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indicates the expenses to be incurred in connection with the offering described in this registration statement, other than underwriting discounts and commissions.</w:t>
      </w:r>
    </w:p>
    <w:tbl>
      <w:tblPr>
        <w:tblW w:w="6644" w:type="dxa"/>
        <w:jc w:val="left"/>
        <w:tblInd w:w="0" w:type="dxa"/>
        <w:tblLayout w:type="fixed"/>
        <w:tblCellMar>
          <w:top w:w="0" w:type="dxa"/>
          <w:left w:w="0" w:type="dxa"/>
          <w:bottom w:w="0" w:type="dxa"/>
          <w:right w:w="0" w:type="dxa"/>
        </w:tblCellMar>
      </w:tblPr>
      <w:tblGrid>
        <w:gridCol w:w="5341"/>
        <w:gridCol w:w="146"/>
        <w:gridCol w:w="226"/>
        <w:gridCol w:w="931"/>
      </w:tblGrid>
      <w:tr>
        <w:trPr/>
        <w:tc>
          <w:tcPr>
            <w:tcW w:w="53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5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and Exchange Commission registration fee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1,199</w:t>
            </w:r>
          </w:p>
        </w:tc>
      </w:tr>
      <w:tr>
        <w:trPr/>
        <w:tc>
          <w:tcPr>
            <w:tcW w:w="5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Accountants’ fees and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197,000</w:t>
            </w:r>
          </w:p>
        </w:tc>
      </w:tr>
      <w:tr>
        <w:trPr/>
        <w:tc>
          <w:tcPr>
            <w:tcW w:w="5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r>
      <w:tr>
        <w:trPr/>
        <w:tc>
          <w:tcPr>
            <w:tcW w:w="5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r>
      <w:tr>
        <w:trPr/>
        <w:tc>
          <w:tcPr>
            <w:tcW w:w="5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318,199</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14.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Charter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Delaware Court of Chancery or other adjudicating court determines that, despite the adjudication of liability but in view of all of the circumstances of the case, such person is fairly and reasonably entitled to indemnity for such expenses which the Delaware Court of Chancery or such other court shall deem proper.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Charter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Charter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a general liability insurance policy that covers certain liabilities of directors and officers of our corporation arising out of claims based on acts or omissions in their capacities as directors or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15. Recent Sales of Unregistered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information regarding shares of capital stock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Issuance of Capital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17, 2021, simultaneously with the consummation of the RCLF IPO, RCLF completed a private placement of warrants to the Sponsor at a price of $1.50 per warrant, raising total gross proceeds of $7.06 million. In connection with the Business Combination and pursuant to that certain Sponsor Letter Agreement dated September 11, 2023, the Sponsor agreed to forfeit all of the Private Placement Warrants for no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Legacy Spectral entered into Subscription Agreements with certain “qualified institutional buyers” (as defined in Rule 144A under the Securities Act and accredited investors (together, the “Legacy Spectral Investors”), pursuant to which the Legacy Spectral Investors subscribed for and purchased, and Legacy Spectral issued and sold to the Legacy Spectral Investors, shares of Legacy Spectral common stock that converted into shares of Common Stock at the applicable exchange ratio under the Business Combination Agreement, for aggregate gross proceeds of $3,351,000.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26, 2023, the Company issued 40,000 shares of Common Stock, or Commitment Shares, to the Selling Stockholder as consideration for the Selling Stockholder’s commitment to purchase shares of Common Stock at the Company’s direction upon the terms and subject to the conditions set forth in the Purchase Agreement, upon execution of the Purchase Agreement. In the Purchase Agreement, the Selling Stockholder represented to the Company among other things, that it is an “accredited investor” (as such term is defined in Rule 501(a) of Regulation D under the Securities Act). The Commitment Shares are being issued and sold by the Company to the Selling Stockholder in reliance upon the exemptions from the registration requirements of the Securities Act afforded by Section 4(a)(2) of the Securities Act.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16. Exhibits and Financial Statement Schedules.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Exhibits and Financial Statement Schedules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217"/>
        <w:gridCol w:w="146"/>
        <w:gridCol w:w="8842"/>
      </w:tblGrid>
      <w:tr>
        <w:trPr/>
        <w:tc>
          <w:tcPr>
            <w:tcW w:w="121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Number</w:t>
            </w:r>
          </w:p>
        </w:tc>
        <w:tc>
          <w:tcPr>
            <w:tcW w:w="146" w:type="dxa"/>
            <w:tcBorders/>
            <w:vAlign w:val="bottom"/>
          </w:tcPr>
          <w:p>
            <w:pPr>
              <w:pStyle w:val="TableContents"/>
              <w:bidi w:val="0"/>
              <w:spacing w:before="0" w:after="283"/>
              <w:jc w:val="left"/>
              <w:rPr/>
            </w:pPr>
            <w:r>
              <w:rPr/>
              <w:t> </w:t>
            </w:r>
          </w:p>
        </w:tc>
        <w:tc>
          <w:tcPr>
            <w:tcW w:w="884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217"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bidi w:val="0"/>
              <w:spacing w:before="0" w:after="283"/>
              <w:jc w:val="left"/>
              <w:rPr/>
            </w:pPr>
            <w:r>
              <w:rPr/>
              <w:t> </w:t>
            </w:r>
          </w:p>
        </w:tc>
        <w:tc>
          <w:tcPr>
            <w:tcW w:w="8842"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"https://www.sec.gov/Archives/edgar/data/1833498/000121390023065558/fs42023a4_rosecliff.htm" \l "T99555"</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Business Combination Agreement, by and among Rosecliff Acquisition Corp I, Merger Sub I, Merger Sub II and Spectral MD Holdings, Ltd., dated as of April 11, 2023 (incorporated by reference to Annex A of the Registration Statement on Form S-4 (File No. 333-271566)).</w:t>
            </w:r>
            <w:r>
              <w:rPr>
                <w:rStyle w:val="InternetLink"/>
                <w:smallCaps w:val="false"/>
                <w:caps w:val="false"/>
                <w:sz w:val="20"/>
                <w:i w:val="false"/>
                <w:b w:val="false"/>
                <w:rFonts w:ascii="Times New Roman PS Std;serif" w:hAnsi="Times New Roman PS Std;serif"/>
              </w:rPr>
              <w:fldChar w:fldCharType="end"/>
            </w:r>
          </w:p>
        </w:tc>
      </w:tr>
      <w:tr>
        <w:trPr/>
        <w:tc>
          <w:tcPr>
            <w:tcW w:w="12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842" w:type="dxa"/>
            <w:tcBorders/>
          </w:tcPr>
          <w:p>
            <w:pPr>
              <w:pStyle w:val="TableContents"/>
              <w:keepNext w:val="false"/>
              <w:widowControl/>
              <w:pBdr/>
              <w:bidi w:val="0"/>
              <w:spacing w:before="0" w:after="283"/>
              <w:jc w:val="both"/>
              <w:rPr/>
            </w:pPr>
            <w:hyperlink r:id="rId12">
              <w:r>
                <w:rPr>
                  <w:rStyle w:val="InternetLink"/>
                  <w:rFonts w:ascii="Times New Roman PS Std;serif" w:hAnsi="Times New Roman PS Std;serif"/>
                  <w:b w:val="false"/>
                  <w:i w:val="false"/>
                  <w:caps w:val="false"/>
                  <w:smallCaps w:val="false"/>
                  <w:sz w:val="20"/>
                </w:rPr>
                <w:t>Second Amended and Restated Certificate of Incorporation of Spectral AI, Inc. (incorporated by reference to the Registrant’s Current Report on Form 8-K filed with the SEC on September 15, 2023).</w:t>
              </w:r>
            </w:hyperlink>
          </w:p>
        </w:tc>
      </w:tr>
      <w:tr>
        <w:trPr/>
        <w:tc>
          <w:tcPr>
            <w:tcW w:w="1217"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8842" w:type="dxa"/>
            <w:tcBorders/>
            <w:shd w:fill="CCEEFF" w:val="clear"/>
          </w:tcPr>
          <w:p>
            <w:pPr>
              <w:pStyle w:val="TableContents"/>
              <w:keepNext w:val="false"/>
              <w:widowControl/>
              <w:pBdr/>
              <w:bidi w:val="0"/>
              <w:spacing w:before="0" w:after="283"/>
              <w:jc w:val="both"/>
              <w:rPr/>
            </w:pPr>
            <w:hyperlink r:id="rId13">
              <w:r>
                <w:rPr>
                  <w:rStyle w:val="InternetLink"/>
                  <w:rFonts w:ascii="Times New Roman PS Std;serif" w:hAnsi="Times New Roman PS Std;serif"/>
                  <w:b w:val="false"/>
                  <w:i w:val="false"/>
                  <w:caps w:val="false"/>
                  <w:smallCaps w:val="false"/>
                  <w:sz w:val="20"/>
                </w:rPr>
                <w:t>Amended and Restated Bylaws of Spectral AI, Inc. (incorporated by reference to the Registrant’s Current Report on Form 8-K filed with the SEC on September 15, 2023).</w:t>
              </w:r>
            </w:hyperlink>
          </w:p>
        </w:tc>
      </w:tr>
      <w:tr>
        <w:trPr/>
        <w:tc>
          <w:tcPr>
            <w:tcW w:w="12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8842" w:type="dxa"/>
            <w:tcBorders/>
          </w:tcPr>
          <w:p>
            <w:pPr>
              <w:pStyle w:val="TableContents"/>
              <w:keepNext w:val="false"/>
              <w:widowControl/>
              <w:pBdr/>
              <w:bidi w:val="0"/>
              <w:spacing w:before="0" w:after="283"/>
              <w:jc w:val="both"/>
              <w:rPr/>
            </w:pPr>
            <w:hyperlink r:id="rId14">
              <w:r>
                <w:rPr>
                  <w:rStyle w:val="InternetLink"/>
                  <w:rFonts w:ascii="Times New Roman PS Std;serif" w:hAnsi="Times New Roman PS Std;serif"/>
                  <w:b w:val="false"/>
                  <w:i w:val="false"/>
                  <w:caps w:val="false"/>
                  <w:smallCaps w:val="false"/>
                  <w:sz w:val="20"/>
                </w:rPr>
                <w:t>Warrant Agreement, dated February 11, 2021, between Rosecliff Acquisition Corp I and Continental Stock Transfer &amp; Trust Company, as warrant agent (incorporated by reference to the Registrant’s Current Report on Form 8-K filed with the SEC on February 17, 2021)</w:t>
              </w:r>
            </w:hyperlink>
          </w:p>
        </w:tc>
      </w:tr>
      <w:tr>
        <w:trPr/>
        <w:tc>
          <w:tcPr>
            <w:tcW w:w="1217"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8842" w:type="dxa"/>
            <w:tcBorders/>
            <w:shd w:fill="CCEEFF" w:val="clear"/>
          </w:tcPr>
          <w:p>
            <w:pPr>
              <w:pStyle w:val="TableContents"/>
              <w:keepNext w:val="false"/>
              <w:widowControl/>
              <w:pBdr/>
              <w:bidi w:val="0"/>
              <w:spacing w:before="0" w:after="283"/>
              <w:jc w:val="both"/>
              <w:rPr/>
            </w:pPr>
            <w:hyperlink r:id="rId15">
              <w:r>
                <w:rPr>
                  <w:rStyle w:val="InternetLink"/>
                  <w:rFonts w:ascii="Times New Roman PS Std;serif" w:hAnsi="Times New Roman PS Std;serif"/>
                  <w:b w:val="false"/>
                  <w:i w:val="false"/>
                  <w:caps w:val="false"/>
                  <w:smallCaps w:val="false"/>
                  <w:sz w:val="20"/>
                </w:rPr>
                <w:t>Description of the Registrant’s Securities (incorporated by reference to the Registrant’s Annual Report on Form 10-K filed on March 31, 2022)</w:t>
              </w:r>
            </w:hyperlink>
          </w:p>
        </w:tc>
      </w:tr>
      <w:tr>
        <w:trPr/>
        <w:tc>
          <w:tcPr>
            <w:tcW w:w="12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tcPr>
          <w:p>
            <w:pPr>
              <w:pStyle w:val="TableContents"/>
              <w:bidi w:val="0"/>
              <w:spacing w:before="0" w:after="283"/>
              <w:jc w:val="left"/>
              <w:rPr/>
            </w:pPr>
            <w:r>
              <w:rPr/>
              <w:t> </w:t>
            </w:r>
          </w:p>
        </w:tc>
        <w:tc>
          <w:tcPr>
            <w:tcW w:w="8842" w:type="dxa"/>
            <w:tcBorders/>
          </w:tcPr>
          <w:p>
            <w:pPr>
              <w:pStyle w:val="TableContents"/>
              <w:keepNext w:val="false"/>
              <w:widowControl/>
              <w:pBdr/>
              <w:bidi w:val="0"/>
              <w:spacing w:before="0" w:after="283"/>
              <w:jc w:val="both"/>
              <w:rPr/>
            </w:pPr>
            <w:hyperlink r:id="rId16">
              <w:r>
                <w:rPr>
                  <w:rStyle w:val="InternetLink"/>
                  <w:rFonts w:ascii="Times New Roman PS Std;serif" w:hAnsi="Times New Roman PS Std;serif"/>
                  <w:b w:val="false"/>
                  <w:i w:val="false"/>
                  <w:caps w:val="false"/>
                  <w:smallCaps w:val="false"/>
                  <w:sz w:val="20"/>
                </w:rPr>
                <w:t>Amended and Restated Registration Rights &amp; Lock-up Agreement (incorporated by reference to the Registrant’s Current Report on Form 8-K filed with the SEC on September 15, 2023).</w:t>
              </w:r>
            </w:hyperlink>
          </w:p>
        </w:tc>
      </w:tr>
      <w:tr>
        <w:trPr/>
        <w:tc>
          <w:tcPr>
            <w:tcW w:w="1217"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8842" w:type="dxa"/>
            <w:tcBorders/>
            <w:shd w:fill="CCEEFF" w:val="clear"/>
          </w:tcPr>
          <w:p>
            <w:pPr>
              <w:pStyle w:val="TableContents"/>
              <w:keepNext w:val="false"/>
              <w:widowControl/>
              <w:pBdr/>
              <w:bidi w:val="0"/>
              <w:spacing w:before="0" w:after="283"/>
              <w:jc w:val="both"/>
              <w:rPr/>
            </w:pPr>
            <w:hyperlink w:anchor="fs12023ex5-1_spectralai.htm">
              <w:r>
                <w:rPr>
                  <w:rStyle w:val="InternetLink"/>
                  <w:rFonts w:ascii="Times New Roman PS Std;serif" w:hAnsi="Times New Roman PS Std;serif"/>
                  <w:b w:val="false"/>
                  <w:i w:val="false"/>
                  <w:caps w:val="false"/>
                  <w:smallCaps w:val="false"/>
                  <w:sz w:val="20"/>
                </w:rPr>
                <w:t>Opinion of Reed Smith LLP</w:t>
              </w:r>
            </w:hyperlink>
          </w:p>
        </w:tc>
      </w:tr>
      <w:tr>
        <w:trPr/>
        <w:tc>
          <w:tcPr>
            <w:tcW w:w="12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8842" w:type="dxa"/>
            <w:tcBorders/>
          </w:tcPr>
          <w:p>
            <w:pPr>
              <w:pStyle w:val="TableContents"/>
              <w:keepNext w:val="false"/>
              <w:widowControl/>
              <w:pBdr/>
              <w:bidi w:val="0"/>
              <w:spacing w:before="0" w:after="283"/>
              <w:jc w:val="both"/>
              <w:rPr/>
            </w:pPr>
            <w:hyperlink r:id="rId17">
              <w:r>
                <w:rPr>
                  <w:rStyle w:val="InternetLink"/>
                  <w:rFonts w:ascii="Times New Roman PS Std;serif" w:hAnsi="Times New Roman PS Std;serif"/>
                  <w:b w:val="false"/>
                  <w:i w:val="false"/>
                  <w:caps w:val="false"/>
                  <w:smallCaps w:val="false"/>
                  <w:sz w:val="20"/>
                </w:rPr>
                <w:t>Form of Indemnification Agreement (incorporated by reference to the Registrant’s Current Report on Form 8-K filed with the SEC on September 15, 2023).</w:t>
              </w:r>
            </w:hyperlink>
          </w:p>
        </w:tc>
      </w:tr>
      <w:tr>
        <w:trPr/>
        <w:tc>
          <w:tcPr>
            <w:tcW w:w="1217"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8842" w:type="dxa"/>
            <w:tcBorders/>
            <w:shd w:fill="CCEEFF" w:val="clear"/>
          </w:tcPr>
          <w:p>
            <w:pPr>
              <w:pStyle w:val="TableContents"/>
              <w:keepNext w:val="false"/>
              <w:widowControl/>
              <w:pBdr/>
              <w:bidi w:val="0"/>
              <w:spacing w:before="0" w:after="283"/>
              <w:jc w:val="both"/>
              <w:rPr/>
            </w:pPr>
            <w:hyperlink r:id="rId18">
              <w:r>
                <w:rPr>
                  <w:rStyle w:val="InternetLink"/>
                  <w:rFonts w:ascii="Times New Roman PS Std;serif" w:hAnsi="Times New Roman PS Std;serif"/>
                  <w:b w:val="false"/>
                  <w:i w:val="false"/>
                  <w:caps w:val="false"/>
                  <w:smallCaps w:val="false"/>
                  <w:sz w:val="20"/>
                </w:rPr>
                <w:t>Sponsor Warrants Purchase Agreement, dated February 11, 2021, between the Registrant and the Sponsor (incorporated by reference to the Registrant’s Current Report on Form 8-K filed with the SEC on February 17, 2021)</w:t>
              </w:r>
            </w:hyperlink>
          </w:p>
        </w:tc>
      </w:tr>
      <w:tr>
        <w:trPr/>
        <w:tc>
          <w:tcPr>
            <w:tcW w:w="12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8842" w:type="dxa"/>
            <w:tcBorders/>
          </w:tcPr>
          <w:p>
            <w:pPr>
              <w:pStyle w:val="TableContents"/>
              <w:keepNext w:val="false"/>
              <w:widowControl/>
              <w:pBdr/>
              <w:bidi w:val="0"/>
              <w:spacing w:before="0" w:after="283"/>
              <w:jc w:val="both"/>
              <w:rPr/>
            </w:pPr>
            <w:hyperlink r:id="rId19">
              <w:r>
                <w:rPr>
                  <w:rStyle w:val="InternetLink"/>
                  <w:rFonts w:ascii="Times New Roman PS Std;serif" w:hAnsi="Times New Roman PS Std;serif"/>
                  <w:b w:val="false"/>
                  <w:i w:val="false"/>
                  <w:caps w:val="false"/>
                  <w:smallCaps w:val="false"/>
                  <w:sz w:val="20"/>
                </w:rPr>
                <w:t>BARDA Award/Contract, July 1, 2019, by and between Spectral MD, Inc. and ASPR-BARDA (incorporated by reference to Exhibit 10.14 of the Registration Statement on Form S-4 (File No. 333-271566)).</w:t>
              </w:r>
            </w:hyperlink>
          </w:p>
        </w:tc>
      </w:tr>
      <w:tr>
        <w:trPr/>
        <w:tc>
          <w:tcPr>
            <w:tcW w:w="1217"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8842" w:type="dxa"/>
            <w:tcBorders/>
            <w:shd w:fill="CCEEFF" w:val="clear"/>
          </w:tcPr>
          <w:p>
            <w:pPr>
              <w:pStyle w:val="TableContents"/>
              <w:keepNext w:val="false"/>
              <w:widowControl/>
              <w:pBdr/>
              <w:bidi w:val="0"/>
              <w:spacing w:before="0" w:after="283"/>
              <w:jc w:val="both"/>
              <w:rPr/>
            </w:pPr>
            <w:hyperlink r:id="rId20">
              <w:r>
                <w:rPr>
                  <w:rStyle w:val="InternetLink"/>
                  <w:rFonts w:ascii="Times New Roman PS Std;serif" w:hAnsi="Times New Roman PS Std;serif"/>
                  <w:b w:val="false"/>
                  <w:i w:val="false"/>
                  <w:caps w:val="false"/>
                  <w:smallCaps w:val="false"/>
                  <w:sz w:val="20"/>
                </w:rPr>
                <w:t>Amendment of the Solicitation/Modification of the BARDA Contract, dated August 26, 2022, by and between Spectral MD, Inc. and ASPR-BARDA (incorporated by reference to Exhibit 10.15 of the Registration Statement on Form S-4 (File No. 333-271566)).</w:t>
              </w:r>
            </w:hyperlink>
          </w:p>
        </w:tc>
      </w:tr>
      <w:tr>
        <w:trPr/>
        <w:tc>
          <w:tcPr>
            <w:tcW w:w="12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tcPr>
          <w:p>
            <w:pPr>
              <w:pStyle w:val="TableContents"/>
              <w:bidi w:val="0"/>
              <w:spacing w:before="0" w:after="283"/>
              <w:jc w:val="left"/>
              <w:rPr/>
            </w:pPr>
            <w:r>
              <w:rPr/>
              <w:t> </w:t>
            </w:r>
          </w:p>
        </w:tc>
        <w:tc>
          <w:tcPr>
            <w:tcW w:w="8842" w:type="dxa"/>
            <w:tcBorders/>
          </w:tcPr>
          <w:p>
            <w:pPr>
              <w:pStyle w:val="TableContents"/>
              <w:keepNext w:val="false"/>
              <w:widowControl/>
              <w:pBdr/>
              <w:bidi w:val="0"/>
              <w:spacing w:before="0" w:after="283"/>
              <w:jc w:val="both"/>
              <w:rPr/>
            </w:pPr>
            <w:hyperlink r:id="rId21">
              <w:r>
                <w:rPr>
                  <w:rStyle w:val="InternetLink"/>
                  <w:rFonts w:ascii="Times New Roman PS Std;serif" w:hAnsi="Times New Roman PS Std;serif"/>
                  <w:b w:val="false"/>
                  <w:i w:val="false"/>
                  <w:caps w:val="false"/>
                  <w:smallCaps w:val="false"/>
                  <w:sz w:val="20"/>
                </w:rPr>
                <w:t>Award/Contract for DHA, dated July 1, 2021, by and between Spectral MD, Inc. and U.S. Army Medical Materiel Development Activity (incorporated by reference to Exhibit 10.16 of the Registration Statement on Form S-4 (File No. 333-271566)).</w:t>
              </w:r>
            </w:hyperlink>
          </w:p>
        </w:tc>
      </w:tr>
      <w:tr>
        <w:trPr/>
        <w:tc>
          <w:tcPr>
            <w:tcW w:w="1217"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CCEEFF" w:val="clear"/>
          </w:tcPr>
          <w:p>
            <w:pPr>
              <w:pStyle w:val="TableContents"/>
              <w:bidi w:val="0"/>
              <w:spacing w:before="0" w:after="283"/>
              <w:jc w:val="left"/>
              <w:rPr/>
            </w:pPr>
            <w:r>
              <w:rPr/>
              <w:t> </w:t>
            </w:r>
          </w:p>
        </w:tc>
        <w:tc>
          <w:tcPr>
            <w:tcW w:w="8842" w:type="dxa"/>
            <w:tcBorders/>
            <w:shd w:fill="CCEEFF" w:val="clear"/>
          </w:tcPr>
          <w:p>
            <w:pPr>
              <w:pStyle w:val="TableContents"/>
              <w:keepNext w:val="false"/>
              <w:widowControl/>
              <w:pBdr/>
              <w:bidi w:val="0"/>
              <w:spacing w:before="0" w:after="283"/>
              <w:jc w:val="both"/>
              <w:rPr/>
            </w:pPr>
            <w:hyperlink r:id="rId22">
              <w:r>
                <w:rPr>
                  <w:rStyle w:val="InternetLink"/>
                  <w:rFonts w:ascii="Times New Roman PS Std;serif" w:hAnsi="Times New Roman PS Std;serif"/>
                  <w:b w:val="false"/>
                  <w:i w:val="false"/>
                  <w:caps w:val="false"/>
                  <w:smallCaps w:val="false"/>
                  <w:sz w:val="20"/>
                </w:rPr>
                <w:t>Amendment of the Solicitation/Modification of the DHA Contract, dated July 1, 2021, by and between Spectral MD, Inc. and U.S. Army medical Materiel Development Activity (incorporated by reference to Exhibit 10.17 of the Registration Statement on Form S-4 (File No. 333-271566)).</w:t>
              </w:r>
            </w:hyperlink>
          </w:p>
        </w:tc>
      </w:tr>
      <w:tr>
        <w:trPr/>
        <w:tc>
          <w:tcPr>
            <w:tcW w:w="12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8842" w:type="dxa"/>
            <w:tcBorders/>
          </w:tcPr>
          <w:p>
            <w:pPr>
              <w:pStyle w:val="TableContents"/>
              <w:keepNext w:val="false"/>
              <w:widowControl/>
              <w:pBdr/>
              <w:bidi w:val="0"/>
              <w:spacing w:before="0" w:after="283"/>
              <w:jc w:val="both"/>
              <w:rPr/>
            </w:pPr>
            <w:hyperlink r:id="rId23">
              <w:r>
                <w:rPr>
                  <w:rStyle w:val="InternetLink"/>
                  <w:rFonts w:ascii="Times New Roman PS Std;serif" w:hAnsi="Times New Roman PS Std;serif"/>
                  <w:b w:val="false"/>
                  <w:i w:val="false"/>
                  <w:caps w:val="false"/>
                  <w:smallCaps w:val="false"/>
                  <w:sz w:val="20"/>
                </w:rPr>
                <w:t>MTEC Research Project Award, dated April 12, 2023, by and between Spectral. MD, Inc. and Advanced Technology International MTEC Consortium Manager (incorporated by reference to Exhibit 10.18 of the Registration Statement on Form S-4 (File No. 333-271566)).</w:t>
              </w:r>
            </w:hyperlink>
          </w:p>
        </w:tc>
      </w:tr>
      <w:tr>
        <w:trPr/>
        <w:tc>
          <w:tcPr>
            <w:tcW w:w="1217"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CCEEFF" w:val="clear"/>
          </w:tcPr>
          <w:p>
            <w:pPr>
              <w:pStyle w:val="TableContents"/>
              <w:bidi w:val="0"/>
              <w:spacing w:before="0" w:after="283"/>
              <w:jc w:val="left"/>
              <w:rPr/>
            </w:pPr>
            <w:r>
              <w:rPr/>
              <w:t> </w:t>
            </w:r>
          </w:p>
        </w:tc>
        <w:tc>
          <w:tcPr>
            <w:tcW w:w="8842"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"https://www.sec.gov/Archives/edgar/data/1833498/000121390023065558/fs42023a4_rosecliff.htm" \l "T99560"</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Sponsor Letter Agreement, dated April 11, 2023, by and among Rosecliff Acquisition I Sponsor LLC, Spectral MD Holdings, Ltd., and Rosecliff Acquisition Corp I (incorporated by reference to Annex F of the Registration Statement on Form S-4 (File No. 333-271566)).</w:t>
            </w:r>
            <w:r>
              <w:rPr>
                <w:rStyle w:val="InternetLink"/>
                <w:smallCaps w:val="false"/>
                <w:caps w:val="false"/>
                <w:sz w:val="20"/>
                <w:i w:val="false"/>
                <w:b w:val="false"/>
                <w:rFonts w:ascii="Times New Roman PS Std;serif" w:hAnsi="Times New Roman PS Std;serif"/>
              </w:rPr>
              <w:fldChar w:fldCharType="end"/>
            </w:r>
          </w:p>
        </w:tc>
      </w:tr>
      <w:tr>
        <w:trPr/>
        <w:tc>
          <w:tcPr>
            <w:tcW w:w="12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tcPr>
          <w:p>
            <w:pPr>
              <w:pStyle w:val="TableContents"/>
              <w:bidi w:val="0"/>
              <w:spacing w:before="0" w:after="283"/>
              <w:jc w:val="left"/>
              <w:rPr/>
            </w:pPr>
            <w:r>
              <w:rPr/>
              <w:t> </w:t>
            </w:r>
          </w:p>
        </w:tc>
        <w:tc>
          <w:tcPr>
            <w:tcW w:w="8842" w:type="dxa"/>
            <w:tcBorders/>
          </w:tcPr>
          <w:p>
            <w:pPr>
              <w:pStyle w:val="TableContents"/>
              <w:keepNext w:val="false"/>
              <w:widowControl/>
              <w:pBdr/>
              <w:bidi w:val="0"/>
              <w:spacing w:before="0" w:after="283"/>
              <w:jc w:val="both"/>
              <w:rPr/>
            </w:pPr>
            <w:hyperlink r:id="rId24">
              <w:r>
                <w:rPr>
                  <w:rStyle w:val="InternetLink"/>
                  <w:rFonts w:ascii="Times New Roman PS Std;serif" w:hAnsi="Times New Roman PS Std;serif"/>
                  <w:b w:val="false"/>
                  <w:i w:val="false"/>
                  <w:caps w:val="false"/>
                  <w:smallCaps w:val="false"/>
                  <w:sz w:val="20"/>
                </w:rPr>
                <w:t>Common Stock Purchase Agreement, dated December 26, 2023, between the Registrant and B. Riley Principal Capital II, LLC (incorporated by reference to Exhibit 10.1 of the Registrant’s Current Report on Form 8-K filed with the SEC on December 27, 2023).</w:t>
              </w:r>
            </w:hyperlink>
          </w:p>
        </w:tc>
      </w:tr>
      <w:tr>
        <w:trPr/>
        <w:tc>
          <w:tcPr>
            <w:tcW w:w="1217"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shd w:fill="CCEEFF" w:val="clear"/>
          </w:tcPr>
          <w:p>
            <w:pPr>
              <w:pStyle w:val="TableContents"/>
              <w:bidi w:val="0"/>
              <w:spacing w:before="0" w:after="283"/>
              <w:jc w:val="left"/>
              <w:rPr/>
            </w:pPr>
            <w:r>
              <w:rPr/>
              <w:t> </w:t>
            </w:r>
          </w:p>
        </w:tc>
        <w:tc>
          <w:tcPr>
            <w:tcW w:w="8842" w:type="dxa"/>
            <w:tcBorders/>
            <w:shd w:fill="CCEEFF" w:val="clear"/>
          </w:tcPr>
          <w:p>
            <w:pPr>
              <w:pStyle w:val="TableContents"/>
              <w:keepNext w:val="false"/>
              <w:widowControl/>
              <w:pBdr/>
              <w:bidi w:val="0"/>
              <w:spacing w:before="0" w:after="283"/>
              <w:jc w:val="both"/>
              <w:rPr/>
            </w:pPr>
            <w:hyperlink r:id="rId25">
              <w:r>
                <w:rPr>
                  <w:rStyle w:val="InternetLink"/>
                  <w:rFonts w:ascii="Times New Roman PS Std;serif" w:hAnsi="Times New Roman PS Std;serif"/>
                  <w:b w:val="false"/>
                  <w:i w:val="false"/>
                  <w:caps w:val="false"/>
                  <w:smallCaps w:val="false"/>
                  <w:sz w:val="20"/>
                </w:rPr>
                <w:t>Registration Rights Agreement, dated December 26, 2023, between the Registrant and B. Riley Principal Capital II, LLC (incorporated by reference to Exhibit 10.2 of the Registrant’s Current Report on Form 8-K filed with the SEC on December 27, 2023).</w:t>
              </w:r>
            </w:hyperlink>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613" w:type="dxa"/>
        <w:jc w:val="left"/>
        <w:tblInd w:w="0" w:type="dxa"/>
        <w:tblLayout w:type="fixed"/>
        <w:tblCellMar>
          <w:top w:w="0" w:type="dxa"/>
          <w:left w:w="0" w:type="dxa"/>
          <w:bottom w:w="0" w:type="dxa"/>
          <w:right w:w="0" w:type="dxa"/>
        </w:tblCellMar>
      </w:tblPr>
      <w:tblGrid>
        <w:gridCol w:w="1786"/>
        <w:gridCol w:w="146"/>
        <w:gridCol w:w="7681"/>
      </w:tblGrid>
      <w:tr>
        <w:trPr/>
        <w:tc>
          <w:tcPr>
            <w:tcW w:w="17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Number</w:t>
            </w:r>
          </w:p>
        </w:tc>
        <w:tc>
          <w:tcPr>
            <w:tcW w:w="146" w:type="dxa"/>
            <w:tcBorders/>
            <w:vAlign w:val="bottom"/>
          </w:tcPr>
          <w:p>
            <w:pPr>
              <w:pStyle w:val="TableContents"/>
              <w:bidi w:val="0"/>
              <w:spacing w:before="0" w:after="283"/>
              <w:jc w:val="left"/>
              <w:rPr/>
            </w:pPr>
            <w:r>
              <w:rPr/>
              <w:t> </w:t>
            </w:r>
          </w:p>
        </w:tc>
        <w:tc>
          <w:tcPr>
            <w:tcW w:w="76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7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CCEEFF" w:val="clear"/>
          </w:tcPr>
          <w:p>
            <w:pPr>
              <w:pStyle w:val="TableContents"/>
              <w:bidi w:val="0"/>
              <w:spacing w:before="0" w:after="283"/>
              <w:jc w:val="left"/>
              <w:rPr/>
            </w:pPr>
            <w:r>
              <w:rPr/>
              <w:t> </w:t>
            </w:r>
          </w:p>
        </w:tc>
        <w:tc>
          <w:tcPr>
            <w:tcW w:w="7681" w:type="dxa"/>
            <w:tcBorders/>
            <w:shd w:fill="CCEEFF" w:val="clear"/>
          </w:tcPr>
          <w:p>
            <w:pPr>
              <w:pStyle w:val="TableContents"/>
              <w:keepNext w:val="false"/>
              <w:widowControl/>
              <w:pBdr/>
              <w:bidi w:val="0"/>
              <w:spacing w:before="0" w:after="283"/>
              <w:jc w:val="both"/>
              <w:rPr/>
            </w:pPr>
            <w:hyperlink w:anchor="fs12023ex5-1_spectralai.htm">
              <w:r>
                <w:rPr>
                  <w:rStyle w:val="InternetLink"/>
                  <w:rFonts w:ascii="Times New Roman PS Std;serif" w:hAnsi="Times New Roman PS Std;serif"/>
                  <w:b w:val="false"/>
                  <w:i w:val="false"/>
                  <w:caps w:val="false"/>
                  <w:smallCaps w:val="false"/>
                  <w:sz w:val="20"/>
                </w:rPr>
                <w:t>Consent of Reed Smith LLP (included in Exhibit 5.1)</w:t>
              </w:r>
            </w:hyperlink>
          </w:p>
        </w:tc>
      </w:tr>
      <w:tr>
        <w:trPr/>
        <w:tc>
          <w:tcPr>
            <w:tcW w:w="17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tcPr>
          <w:p>
            <w:pPr>
              <w:pStyle w:val="TableContents"/>
              <w:bidi w:val="0"/>
              <w:spacing w:before="0" w:after="283"/>
              <w:jc w:val="left"/>
              <w:rPr/>
            </w:pPr>
            <w:r>
              <w:rPr/>
              <w:t> </w:t>
            </w:r>
          </w:p>
        </w:tc>
        <w:tc>
          <w:tcPr>
            <w:tcW w:w="7681" w:type="dxa"/>
            <w:tcBorders/>
          </w:tcPr>
          <w:p>
            <w:pPr>
              <w:pStyle w:val="TableContents"/>
              <w:keepNext w:val="false"/>
              <w:widowControl/>
              <w:pBdr/>
              <w:bidi w:val="0"/>
              <w:spacing w:before="0" w:after="283"/>
              <w:jc w:val="both"/>
              <w:rPr/>
            </w:pPr>
            <w:hyperlink w:anchor="fs12023ex23-2_spectralai.htm">
              <w:r>
                <w:rPr>
                  <w:rStyle w:val="InternetLink"/>
                  <w:rFonts w:ascii="Times New Roman PS Std;serif" w:hAnsi="Times New Roman PS Std;serif"/>
                  <w:b w:val="false"/>
                  <w:i w:val="false"/>
                  <w:caps w:val="false"/>
                  <w:smallCaps w:val="false"/>
                  <w:sz w:val="20"/>
                </w:rPr>
                <w:t>Consent of KPMG LLP.</w:t>
              </w:r>
            </w:hyperlink>
          </w:p>
        </w:tc>
      </w:tr>
      <w:tr>
        <w:trPr/>
        <w:tc>
          <w:tcPr>
            <w:tcW w:w="17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shd w:fill="CCEEFF" w:val="clear"/>
          </w:tcPr>
          <w:p>
            <w:pPr>
              <w:pStyle w:val="TableContents"/>
              <w:bidi w:val="0"/>
              <w:spacing w:before="0" w:after="283"/>
              <w:jc w:val="left"/>
              <w:rPr/>
            </w:pPr>
            <w:r>
              <w:rPr/>
              <w:t> </w:t>
            </w:r>
          </w:p>
        </w:tc>
        <w:tc>
          <w:tcPr>
            <w:tcW w:w="7681" w:type="dxa"/>
            <w:tcBorders/>
            <w:shd w:fill="CCEEFF" w:val="clear"/>
          </w:tcPr>
          <w:p>
            <w:pPr>
              <w:pStyle w:val="TableContents"/>
              <w:keepNext w:val="false"/>
              <w:widowControl/>
              <w:pBdr/>
              <w:bidi w:val="0"/>
              <w:spacing w:before="0" w:after="283"/>
              <w:jc w:val="both"/>
              <w:rPr/>
            </w:pPr>
            <w:hyperlink w:anchor="fs12023ex23-3_spectralai.htm">
              <w:r>
                <w:rPr>
                  <w:rStyle w:val="InternetLink"/>
                  <w:rFonts w:ascii="Times New Roman PS Std;serif" w:hAnsi="Times New Roman PS Std;serif"/>
                  <w:b w:val="false"/>
                  <w:i w:val="false"/>
                  <w:caps w:val="false"/>
                  <w:smallCaps w:val="false"/>
                  <w:sz w:val="20"/>
                </w:rPr>
                <w:t>Consent of WithumSmith+Brown, PC</w:t>
              </w:r>
            </w:hyperlink>
          </w:p>
        </w:tc>
      </w:tr>
      <w:tr>
        <w:trPr/>
        <w:tc>
          <w:tcPr>
            <w:tcW w:w="17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tcPr>
          <w:p>
            <w:pPr>
              <w:pStyle w:val="TableContents"/>
              <w:bidi w:val="0"/>
              <w:spacing w:before="0" w:after="283"/>
              <w:jc w:val="left"/>
              <w:rPr/>
            </w:pPr>
            <w:r>
              <w:rPr/>
              <w:t> </w:t>
            </w:r>
          </w:p>
        </w:tc>
        <w:tc>
          <w:tcPr>
            <w:tcW w:w="7681" w:type="dxa"/>
            <w:tcBorders/>
          </w:tcPr>
          <w:p>
            <w:pPr>
              <w:pStyle w:val="TableContents"/>
              <w:keepNext w:val="false"/>
              <w:widowControl/>
              <w:pBdr/>
              <w:bidi w:val="0"/>
              <w:spacing w:before="0" w:after="283"/>
              <w:jc w:val="both"/>
              <w:rPr/>
            </w:pPr>
            <w:hyperlink w:anchor="T301">
              <w:r>
                <w:rPr>
                  <w:rStyle w:val="InternetLink"/>
                  <w:rFonts w:ascii="Times New Roman PS Std;serif" w:hAnsi="Times New Roman PS Std;serif"/>
                  <w:b w:val="false"/>
                  <w:i w:val="false"/>
                  <w:caps w:val="false"/>
                  <w:smallCaps w:val="false"/>
                  <w:sz w:val="20"/>
                </w:rPr>
                <w:t>Power of Attorney (included on signature page to this registration statement)</w:t>
              </w:r>
            </w:hyperlink>
          </w:p>
        </w:tc>
      </w:tr>
      <w:tr>
        <w:trPr/>
        <w:tc>
          <w:tcPr>
            <w:tcW w:w="17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101.INS</w:t>
            </w:r>
          </w:p>
        </w:tc>
        <w:tc>
          <w:tcPr>
            <w:tcW w:w="146" w:type="dxa"/>
            <w:tcBorders/>
            <w:shd w:fill="CCEEFF" w:val="clear"/>
          </w:tcPr>
          <w:p>
            <w:pPr>
              <w:pStyle w:val="TableContents"/>
              <w:bidi w:val="0"/>
              <w:spacing w:before="0" w:after="283"/>
              <w:jc w:val="left"/>
              <w:rPr/>
            </w:pPr>
            <w:r>
              <w:rPr/>
              <w:t> </w:t>
            </w:r>
          </w:p>
        </w:tc>
        <w:tc>
          <w:tcPr>
            <w:tcW w:w="768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Instance Document</w:t>
            </w:r>
          </w:p>
        </w:tc>
      </w:tr>
      <w:tr>
        <w:trPr/>
        <w:tc>
          <w:tcPr>
            <w:tcW w:w="17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101.SCH</w:t>
            </w:r>
          </w:p>
        </w:tc>
        <w:tc>
          <w:tcPr>
            <w:tcW w:w="146" w:type="dxa"/>
            <w:tcBorders/>
          </w:tcPr>
          <w:p>
            <w:pPr>
              <w:pStyle w:val="TableContents"/>
              <w:bidi w:val="0"/>
              <w:spacing w:before="0" w:after="283"/>
              <w:jc w:val="left"/>
              <w:rPr/>
            </w:pPr>
            <w:r>
              <w:rPr/>
              <w:t> </w:t>
            </w:r>
          </w:p>
        </w:tc>
        <w:tc>
          <w:tcPr>
            <w:tcW w:w="7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Schema Document</w:t>
            </w:r>
          </w:p>
        </w:tc>
      </w:tr>
      <w:tr>
        <w:trPr/>
        <w:tc>
          <w:tcPr>
            <w:tcW w:w="17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101.CAL</w:t>
            </w:r>
          </w:p>
        </w:tc>
        <w:tc>
          <w:tcPr>
            <w:tcW w:w="146" w:type="dxa"/>
            <w:tcBorders/>
            <w:shd w:fill="CCEEFF" w:val="clear"/>
          </w:tcPr>
          <w:p>
            <w:pPr>
              <w:pStyle w:val="TableContents"/>
              <w:bidi w:val="0"/>
              <w:spacing w:before="0" w:after="283"/>
              <w:jc w:val="left"/>
              <w:rPr/>
            </w:pPr>
            <w:r>
              <w:rPr/>
              <w:t> </w:t>
            </w:r>
          </w:p>
        </w:tc>
        <w:tc>
          <w:tcPr>
            <w:tcW w:w="768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Calculation Linkbase Document</w:t>
            </w:r>
          </w:p>
        </w:tc>
      </w:tr>
      <w:tr>
        <w:trPr/>
        <w:tc>
          <w:tcPr>
            <w:tcW w:w="17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101.DEF</w:t>
            </w:r>
          </w:p>
        </w:tc>
        <w:tc>
          <w:tcPr>
            <w:tcW w:w="146" w:type="dxa"/>
            <w:tcBorders/>
          </w:tcPr>
          <w:p>
            <w:pPr>
              <w:pStyle w:val="TableContents"/>
              <w:bidi w:val="0"/>
              <w:spacing w:before="0" w:after="283"/>
              <w:jc w:val="left"/>
              <w:rPr/>
            </w:pPr>
            <w:r>
              <w:rPr/>
              <w:t> </w:t>
            </w:r>
          </w:p>
        </w:tc>
        <w:tc>
          <w:tcPr>
            <w:tcW w:w="7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Definition Linkbase Document</w:t>
            </w:r>
          </w:p>
        </w:tc>
      </w:tr>
      <w:tr>
        <w:trPr/>
        <w:tc>
          <w:tcPr>
            <w:tcW w:w="17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101.LAB</w:t>
            </w:r>
          </w:p>
        </w:tc>
        <w:tc>
          <w:tcPr>
            <w:tcW w:w="146" w:type="dxa"/>
            <w:tcBorders/>
            <w:shd w:fill="CCEEFF" w:val="clear"/>
          </w:tcPr>
          <w:p>
            <w:pPr>
              <w:pStyle w:val="TableContents"/>
              <w:bidi w:val="0"/>
              <w:spacing w:before="0" w:after="283"/>
              <w:jc w:val="left"/>
              <w:rPr/>
            </w:pPr>
            <w:r>
              <w:rPr/>
              <w:t> </w:t>
            </w:r>
          </w:p>
        </w:tc>
        <w:tc>
          <w:tcPr>
            <w:tcW w:w="768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Label Linkbase Document</w:t>
            </w:r>
          </w:p>
        </w:tc>
      </w:tr>
      <w:tr>
        <w:trPr/>
        <w:tc>
          <w:tcPr>
            <w:tcW w:w="17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101.PRE</w:t>
            </w:r>
          </w:p>
        </w:tc>
        <w:tc>
          <w:tcPr>
            <w:tcW w:w="146" w:type="dxa"/>
            <w:tcBorders/>
          </w:tcPr>
          <w:p>
            <w:pPr>
              <w:pStyle w:val="TableContents"/>
              <w:bidi w:val="0"/>
              <w:spacing w:before="0" w:after="283"/>
              <w:jc w:val="left"/>
              <w:rPr/>
            </w:pPr>
            <w:r>
              <w:rPr/>
              <w:t> </w:t>
            </w:r>
          </w:p>
        </w:tc>
        <w:tc>
          <w:tcPr>
            <w:tcW w:w="7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Presentation Linkbase Document</w:t>
            </w:r>
          </w:p>
        </w:tc>
      </w:tr>
      <w:tr>
        <w:trPr/>
        <w:tc>
          <w:tcPr>
            <w:tcW w:w="17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7681" w:type="dxa"/>
            <w:tcBorders/>
            <w:shd w:fill="CCEEFF" w:val="clear"/>
          </w:tcPr>
          <w:p>
            <w:pPr>
              <w:pStyle w:val="TableContents"/>
              <w:keepNext w:val="false"/>
              <w:widowControl/>
              <w:pBdr/>
              <w:bidi w:val="0"/>
              <w:spacing w:before="0" w:after="283"/>
              <w:jc w:val="both"/>
              <w:rPr/>
            </w:pPr>
            <w:hyperlink w:anchor="fs12023ex-fee_spectralai.htm">
              <w:r>
                <w:rPr>
                  <w:rStyle w:val="InternetLink"/>
                  <w:rFonts w:ascii="Times New Roman PS Std;serif" w:hAnsi="Times New Roman PS Std;serif"/>
                  <w:b w:val="false"/>
                  <w:i w:val="false"/>
                  <w:caps w:val="false"/>
                  <w:smallCaps w:val="false"/>
                  <w:sz w:val="20"/>
                </w:rPr>
                <w:t>Calculation of 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Previously filed.</w:t>
      </w:r>
    </w:p>
    <w:p>
      <w:pPr>
        <w:pStyle w:val="TextBody"/>
        <w:keepNext w:val="false"/>
        <w:pageBreakBefore w:val="false"/>
        <w:widowControl/>
        <w:pBdr/>
        <w:bidi w:val="0"/>
        <w:spacing w:before="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Certain portions of this Exhibit have been omitted pursuant to Regulation S-K Item 601(a)(5), Item 601(a)(6) or Item 601(b)(10), as applicable, promulgated under the Exchange Act. The Registrant agrees to furnish supplementally a copy of any omitted schedule to the SEC upon request.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17. Undertakings.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that, for the purpose of determining liability under the Securities Act to any purchaser:</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portion of any other free writing prospectus relating to the offering containing material information about the undersigned registrant or its securities provided by or on behalf of an undersigned registrant;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other communication that is an offer in the offering made by the undersigned registrant to the purchaser.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has duly caused this Registration Statement on Form S-1 to be signed on its behalf by the undersigned, thereunto duly authorized, in the City of Dallas, Texas, on the 5th day of January, 2024.</w:t>
      </w:r>
    </w:p>
    <w:tbl>
      <w:tblPr>
        <w:tblW w:w="3590" w:type="dxa"/>
        <w:jc w:val="left"/>
        <w:tblInd w:w="0" w:type="dxa"/>
        <w:tblLayout w:type="fixed"/>
        <w:tblCellMar>
          <w:top w:w="0" w:type="dxa"/>
          <w:left w:w="0" w:type="dxa"/>
          <w:bottom w:w="0" w:type="dxa"/>
          <w:right w:w="0" w:type="dxa"/>
        </w:tblCellMar>
      </w:tblPr>
      <w:tblGrid>
        <w:gridCol w:w="161"/>
        <w:gridCol w:w="146"/>
        <w:gridCol w:w="751"/>
        <w:gridCol w:w="146"/>
        <w:gridCol w:w="238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283"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SPECTRAL AI,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Wensheng Fan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Wensheng Fan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4" w:name="T301"/>
      <w:bookmarkEnd w:id="44"/>
      <w:r>
        <w:rPr>
          <w:rFonts w:ascii="Times New Roman PS Std;serif" w:hAnsi="Times New Roman PS Std;serif"/>
          <w:b/>
          <w:i w:val="false"/>
          <w:caps w:val="false"/>
          <w:smallCaps w:val="false"/>
          <w:sz w:val="20"/>
        </w:rPr>
        <w:t>POWER OF ATTORNEY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whose signature appears below hereby constitutes and appoints Wensheng Fan and Peter M. Carlson his, her or their true and lawful attorney-in-fact, with full power of substitution and resubstitution for such person and in his name, place and stead, in any and all capacities to sign any and all amendments including post-effective amendments to this registration statement and any and all registration statements filed pursuant to Rule 462 under the Securities Act of 1933, as amended,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this Registration Statement has been signed below by the following person in the capacities and on the dates indicated.</w:t>
      </w:r>
    </w:p>
    <w:tbl>
      <w:tblPr>
        <w:tblW w:w="7855" w:type="dxa"/>
        <w:jc w:val="left"/>
        <w:tblInd w:w="0" w:type="dxa"/>
        <w:tblLayout w:type="fixed"/>
        <w:tblCellMar>
          <w:top w:w="0" w:type="dxa"/>
          <w:left w:w="0" w:type="dxa"/>
          <w:bottom w:w="0" w:type="dxa"/>
          <w:right w:w="0" w:type="dxa"/>
        </w:tblCellMar>
      </w:tblPr>
      <w:tblGrid>
        <w:gridCol w:w="2296"/>
        <w:gridCol w:w="146"/>
        <w:gridCol w:w="3601"/>
        <w:gridCol w:w="146"/>
        <w:gridCol w:w="1666"/>
      </w:tblGrid>
      <w:tr>
        <w:trPr/>
        <w:tc>
          <w:tcPr>
            <w:tcW w:w="22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36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29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Wensheng Fan</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Chief Executive Officer</w:t>
            </w:r>
          </w:p>
        </w:tc>
        <w:tc>
          <w:tcPr>
            <w:tcW w:w="146" w:type="dxa"/>
            <w:tcBorders/>
          </w:tcPr>
          <w:p>
            <w:pPr>
              <w:pStyle w:val="TableContents"/>
              <w:bidi w:val="0"/>
              <w:spacing w:before="0" w:after="283"/>
              <w:jc w:val="left"/>
              <w:rPr/>
            </w:pPr>
            <w:r>
              <w:rPr/>
              <w:t> </w:t>
            </w:r>
          </w:p>
        </w:tc>
        <w:tc>
          <w:tcPr>
            <w:tcW w:w="166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5, 2024</w:t>
            </w:r>
          </w:p>
        </w:tc>
      </w:tr>
      <w:tr>
        <w:trPr/>
        <w:tc>
          <w:tcPr>
            <w:tcW w:w="22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Wensheng Fan</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Principal Executive Officer</w:t>
            </w: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 </w:t>
            </w:r>
          </w:p>
        </w:tc>
      </w:tr>
      <w:tr>
        <w:trPr/>
        <w:tc>
          <w:tcPr>
            <w:tcW w:w="229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Peter M. Carlson</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c>
          <w:tcPr>
            <w:tcW w:w="146" w:type="dxa"/>
            <w:tcBorders/>
          </w:tcPr>
          <w:p>
            <w:pPr>
              <w:pStyle w:val="TableContents"/>
              <w:bidi w:val="0"/>
              <w:spacing w:before="0" w:after="283"/>
              <w:jc w:val="left"/>
              <w:rPr/>
            </w:pPr>
            <w:r>
              <w:rPr/>
              <w:t> </w:t>
            </w:r>
          </w:p>
        </w:tc>
        <w:tc>
          <w:tcPr>
            <w:tcW w:w="166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5, 2024</w:t>
            </w:r>
          </w:p>
        </w:tc>
      </w:tr>
      <w:tr>
        <w:trPr/>
        <w:tc>
          <w:tcPr>
            <w:tcW w:w="22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M. Carlson</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Principal Financial Officer and</w:t>
              <w:br/>
              <w:t>Principal Accounting Officer</w:t>
            </w: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 </w:t>
            </w:r>
          </w:p>
        </w:tc>
      </w:tr>
      <w:tr>
        <w:trPr/>
        <w:tc>
          <w:tcPr>
            <w:tcW w:w="229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P. Murphy</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tcPr>
          <w:p>
            <w:pPr>
              <w:pStyle w:val="TableContents"/>
              <w:bidi w:val="0"/>
              <w:spacing w:before="0" w:after="283"/>
              <w:jc w:val="left"/>
              <w:rPr/>
            </w:pPr>
            <w:r>
              <w:rPr/>
              <w:t> </w:t>
            </w:r>
          </w:p>
        </w:tc>
        <w:tc>
          <w:tcPr>
            <w:tcW w:w="166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5, 2024</w:t>
            </w:r>
          </w:p>
        </w:tc>
      </w:tr>
      <w:tr>
        <w:trPr/>
        <w:tc>
          <w:tcPr>
            <w:tcW w:w="22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P. Murphy</w:t>
            </w:r>
          </w:p>
        </w:tc>
        <w:tc>
          <w:tcPr>
            <w:tcW w:w="146" w:type="dxa"/>
            <w:tcBorders/>
          </w:tcPr>
          <w:p>
            <w:pPr>
              <w:pStyle w:val="TableContents"/>
              <w:bidi w:val="0"/>
              <w:spacing w:before="0" w:after="283"/>
              <w:jc w:val="left"/>
              <w:rPr/>
            </w:pPr>
            <w:r>
              <w:rPr/>
              <w:t> </w:t>
            </w:r>
          </w:p>
        </w:tc>
        <w:tc>
          <w:tcPr>
            <w:tcW w:w="36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 </w:t>
            </w:r>
          </w:p>
        </w:tc>
      </w:tr>
      <w:tr>
        <w:trPr/>
        <w:tc>
          <w:tcPr>
            <w:tcW w:w="229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Cynthia Cai</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tcPr>
          <w:p>
            <w:pPr>
              <w:pStyle w:val="TableContents"/>
              <w:bidi w:val="0"/>
              <w:spacing w:before="0" w:after="283"/>
              <w:jc w:val="left"/>
              <w:rPr/>
            </w:pPr>
            <w:r>
              <w:rPr/>
              <w:t> </w:t>
            </w:r>
          </w:p>
        </w:tc>
        <w:tc>
          <w:tcPr>
            <w:tcW w:w="166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5, 2024</w:t>
            </w:r>
          </w:p>
        </w:tc>
      </w:tr>
      <w:tr>
        <w:trPr/>
        <w:tc>
          <w:tcPr>
            <w:tcW w:w="22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Cynthia Cai</w:t>
            </w:r>
          </w:p>
        </w:tc>
        <w:tc>
          <w:tcPr>
            <w:tcW w:w="146" w:type="dxa"/>
            <w:tcBorders/>
          </w:tcPr>
          <w:p>
            <w:pPr>
              <w:pStyle w:val="TableContents"/>
              <w:bidi w:val="0"/>
              <w:spacing w:before="0" w:after="283"/>
              <w:jc w:val="left"/>
              <w:rPr/>
            </w:pPr>
            <w:r>
              <w:rPr/>
              <w:t> </w:t>
            </w:r>
          </w:p>
        </w:tc>
        <w:tc>
          <w:tcPr>
            <w:tcW w:w="36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 </w:t>
            </w:r>
          </w:p>
        </w:tc>
      </w:tr>
      <w:tr>
        <w:trPr/>
        <w:tc>
          <w:tcPr>
            <w:tcW w:w="229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Richard Cotton</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 of Directors</w:t>
            </w:r>
          </w:p>
        </w:tc>
        <w:tc>
          <w:tcPr>
            <w:tcW w:w="146" w:type="dxa"/>
            <w:tcBorders/>
          </w:tcPr>
          <w:p>
            <w:pPr>
              <w:pStyle w:val="TableContents"/>
              <w:bidi w:val="0"/>
              <w:spacing w:before="0" w:after="283"/>
              <w:jc w:val="left"/>
              <w:rPr/>
            </w:pPr>
            <w:r>
              <w:rPr/>
              <w:t> </w:t>
            </w:r>
          </w:p>
        </w:tc>
        <w:tc>
          <w:tcPr>
            <w:tcW w:w="166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5, 2024</w:t>
            </w:r>
          </w:p>
        </w:tc>
      </w:tr>
      <w:tr>
        <w:trPr/>
        <w:tc>
          <w:tcPr>
            <w:tcW w:w="22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Richard Cotton</w:t>
            </w:r>
          </w:p>
        </w:tc>
        <w:tc>
          <w:tcPr>
            <w:tcW w:w="146" w:type="dxa"/>
            <w:tcBorders/>
          </w:tcPr>
          <w:p>
            <w:pPr>
              <w:pStyle w:val="TableContents"/>
              <w:bidi w:val="0"/>
              <w:spacing w:before="0" w:after="283"/>
              <w:jc w:val="left"/>
              <w:rPr/>
            </w:pPr>
            <w:r>
              <w:rPr/>
              <w:t> </w:t>
            </w:r>
          </w:p>
        </w:tc>
        <w:tc>
          <w:tcPr>
            <w:tcW w:w="36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 </w:t>
            </w:r>
          </w:p>
        </w:tc>
      </w:tr>
      <w:tr>
        <w:trPr/>
        <w:tc>
          <w:tcPr>
            <w:tcW w:w="229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Martin Mellish</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tcPr>
          <w:p>
            <w:pPr>
              <w:pStyle w:val="TableContents"/>
              <w:bidi w:val="0"/>
              <w:spacing w:before="0" w:after="283"/>
              <w:jc w:val="left"/>
              <w:rPr/>
            </w:pPr>
            <w:r>
              <w:rPr/>
              <w:t> </w:t>
            </w:r>
          </w:p>
        </w:tc>
        <w:tc>
          <w:tcPr>
            <w:tcW w:w="166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5, 2024</w:t>
            </w:r>
          </w:p>
        </w:tc>
      </w:tr>
      <w:tr>
        <w:trPr/>
        <w:tc>
          <w:tcPr>
            <w:tcW w:w="22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Mellish</w:t>
            </w:r>
          </w:p>
        </w:tc>
        <w:tc>
          <w:tcPr>
            <w:tcW w:w="146" w:type="dxa"/>
            <w:tcBorders/>
          </w:tcPr>
          <w:p>
            <w:pPr>
              <w:pStyle w:val="TableContents"/>
              <w:bidi w:val="0"/>
              <w:spacing w:before="0" w:after="283"/>
              <w:jc w:val="left"/>
              <w:rPr/>
            </w:pPr>
            <w:r>
              <w:rPr/>
              <w:t> </w:t>
            </w:r>
          </w:p>
        </w:tc>
        <w:tc>
          <w:tcPr>
            <w:tcW w:w="36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 </w:t>
            </w:r>
          </w:p>
        </w:tc>
      </w:tr>
      <w:tr>
        <w:trPr/>
        <w:tc>
          <w:tcPr>
            <w:tcW w:w="229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Deepak Sadagopan</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tcPr>
          <w:p>
            <w:pPr>
              <w:pStyle w:val="TableContents"/>
              <w:bidi w:val="0"/>
              <w:spacing w:before="0" w:after="283"/>
              <w:jc w:val="left"/>
              <w:rPr/>
            </w:pPr>
            <w:r>
              <w:rPr/>
              <w:t> </w:t>
            </w:r>
          </w:p>
        </w:tc>
        <w:tc>
          <w:tcPr>
            <w:tcW w:w="166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5, 2024</w:t>
            </w:r>
          </w:p>
        </w:tc>
      </w:tr>
      <w:tr>
        <w:trPr/>
        <w:tc>
          <w:tcPr>
            <w:tcW w:w="22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Deepak Sadagopan</w:t>
            </w:r>
          </w:p>
        </w:tc>
        <w:tc>
          <w:tcPr>
            <w:tcW w:w="146" w:type="dxa"/>
            <w:tcBorders/>
          </w:tcPr>
          <w:p>
            <w:pPr>
              <w:pStyle w:val="TableContents"/>
              <w:bidi w:val="0"/>
              <w:spacing w:before="0" w:after="283"/>
              <w:jc w:val="left"/>
              <w:rPr/>
            </w:pPr>
            <w:r>
              <w:rPr/>
              <w:t> </w:t>
            </w:r>
          </w:p>
        </w:tc>
        <w:tc>
          <w:tcPr>
            <w:tcW w:w="36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 </w:t>
            </w:r>
          </w:p>
        </w:tc>
      </w:tr>
      <w:tr>
        <w:trPr/>
        <w:tc>
          <w:tcPr>
            <w:tcW w:w="229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Erich Spangenberg</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tcPr>
          <w:p>
            <w:pPr>
              <w:pStyle w:val="TableContents"/>
              <w:bidi w:val="0"/>
              <w:spacing w:before="0" w:after="283"/>
              <w:jc w:val="left"/>
              <w:rPr/>
            </w:pPr>
            <w:r>
              <w:rPr/>
              <w:t> </w:t>
            </w:r>
          </w:p>
        </w:tc>
        <w:tc>
          <w:tcPr>
            <w:tcW w:w="166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5, 2024</w:t>
            </w:r>
          </w:p>
        </w:tc>
      </w:tr>
      <w:tr>
        <w:trPr/>
        <w:tc>
          <w:tcPr>
            <w:tcW w:w="22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Erich Spangenberg</w:t>
            </w:r>
          </w:p>
        </w:tc>
        <w:tc>
          <w:tcPr>
            <w:tcW w:w="146" w:type="dxa"/>
            <w:tcBorders/>
          </w:tcPr>
          <w:p>
            <w:pPr>
              <w:pStyle w:val="TableContents"/>
              <w:bidi w:val="0"/>
              <w:spacing w:before="0" w:after="283"/>
              <w:jc w:val="left"/>
              <w:rPr/>
            </w:pPr>
            <w:r>
              <w:rPr/>
              <w:t> </w:t>
            </w:r>
          </w:p>
        </w:tc>
        <w:tc>
          <w:tcPr>
            <w:tcW w:w="36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fs12023ex5-1_spectralai.htm"/>
      <w:bookmarkStart w:id="46" w:name="ksfs12023ex51_spectralai"/>
      <w:bookmarkEnd w:id="45"/>
      <w:bookmarkEnd w:id="46"/>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4460" w:type="dxa"/>
        <w:jc w:val="left"/>
        <w:tblInd w:w="0" w:type="dxa"/>
        <w:tblLayout w:type="fixed"/>
        <w:tblCellMar>
          <w:top w:w="0" w:type="dxa"/>
          <w:left w:w="0" w:type="dxa"/>
          <w:bottom w:w="0" w:type="dxa"/>
          <w:right w:w="0" w:type="dxa"/>
        </w:tblCellMar>
      </w:tblPr>
      <w:tblGrid>
        <w:gridCol w:w="2205"/>
        <w:gridCol w:w="2255"/>
      </w:tblGrid>
      <w:tr>
        <w:trPr/>
        <w:tc>
          <w:tcPr>
            <w:tcW w:w="2205" w:type="dxa"/>
            <w:tcBorders/>
            <w:vAlign w:val="center"/>
          </w:tcPr>
          <w:p>
            <w:pPr>
              <w:pStyle w:val="TableContents"/>
              <w:bidi w:val="0"/>
              <w:spacing w:before="0" w:after="283"/>
              <w:jc w:val="left"/>
              <w:rPr/>
            </w:pPr>
            <w:r>
              <w:rPr/>
              <w:t> </w:t>
            </w:r>
          </w:p>
        </w:tc>
        <w:tc>
          <w:tcPr>
            <w:tcW w:w="2255" w:type="dxa"/>
            <w:vMerge w:val="restart"/>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 Smith LLP</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 Lexington Avenue</w:t>
              <w:br/>
              <w:t>New York, NY 10022-7650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+1 212 521 5400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+1 212 521 5450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reedsmith.com</w:t>
            </w:r>
          </w:p>
        </w:tc>
      </w:tr>
      <w:tr>
        <w:trPr/>
        <w:tc>
          <w:tcPr>
            <w:tcW w:w="2205"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390650" cy="552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6"/>
                          <a:stretch>
                            <a:fillRect/>
                          </a:stretch>
                        </pic:blipFill>
                        <pic:spPr bwMode="auto">
                          <a:xfrm>
                            <a:off x="0" y="0"/>
                            <a:ext cx="1390650" cy="552450"/>
                          </a:xfrm>
                          <a:prstGeom prst="rect">
                            <a:avLst/>
                          </a:prstGeom>
                        </pic:spPr>
                      </pic:pic>
                    </a:graphicData>
                  </a:graphic>
                </wp:inline>
              </w:drawing>
            </w:r>
          </w:p>
        </w:tc>
        <w:tc>
          <w:tcPr>
            <w:tcW w:w="2255" w:type="dxa"/>
            <w:vMerge w:val="continue"/>
            <w:tcBorders/>
            <w:vAlign w:val="center"/>
          </w:tcPr>
          <w:p>
            <w:pPr>
              <w:pStyle w:val="Normal"/>
              <w:bidi w:val="0"/>
              <w:jc w:val="left"/>
              <w:rPr/>
            </w:pPr>
            <w:r>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Spectral AI,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 McKinney Avenue</w:t>
        <w:br/>
        <w:t>Suite 1000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TX 75201</w:t>
      </w:r>
    </w:p>
    <w:p>
      <w:pPr>
        <w:pStyle w:val="TextBody"/>
        <w:bidi w:val="0"/>
        <w:spacing w:before="0" w:after="0"/>
        <w:ind w:left="0" w:right="0" w:firstLine="265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the Spectral AI, Inc., a corporation incorporated under the laws of the State of Delaware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filing of the Registration Statement on Form S-1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The Registration Statement relates to the offer and resale by B. Riley Principal Capital II, LLC (the </w:t>
      </w:r>
      <w:r>
        <w:rPr>
          <w:rFonts w:ascii="Times New Roman;Times;Serif" w:hAnsi="Times New Roman;Times;Serif"/>
          <w:b/>
          <w:i w:val="false"/>
          <w:caps w:val="false"/>
          <w:smallCaps w:val="false"/>
          <w:sz w:val="20"/>
        </w:rPr>
        <w:t>Selling Stockholder</w:t>
      </w:r>
      <w:r>
        <w:rPr>
          <w:rFonts w:ascii="Times New Roman;Times;Serif" w:hAnsi="Times New Roman;Times;Serif"/>
          <w:b w:val="false"/>
          <w:i w:val="false"/>
          <w:caps w:val="false"/>
          <w:smallCaps w:val="false"/>
          <w:sz w:val="20"/>
        </w:rPr>
        <w:t>”) of up to 3,249,360 shares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up to 3,209,360 shares of Common Stock (the “</w:t>
      </w:r>
      <w:r>
        <w:rPr>
          <w:rFonts w:ascii="Times New Roman;Times;Serif" w:hAnsi="Times New Roman;Times;Serif"/>
          <w:b/>
          <w:i w:val="false"/>
          <w:caps w:val="false"/>
          <w:smallCaps w:val="false"/>
          <w:sz w:val="20"/>
        </w:rPr>
        <w:t>Purchase Shares</w:t>
      </w:r>
      <w:r>
        <w:rPr>
          <w:rFonts w:ascii="Times New Roman;Times;Serif" w:hAnsi="Times New Roman;Times;Serif"/>
          <w:b w:val="false"/>
          <w:i w:val="false"/>
          <w:caps w:val="false"/>
          <w:smallCaps w:val="false"/>
          <w:sz w:val="20"/>
        </w:rPr>
        <w:t>”) that the Company may elect, in its sole discretion, to issue and sell to the Selling Stockholder, from time to time after the effective date of the Registration Statement, including the related prospectus contained therein and forming a part thereof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pursuant to and subject to the satisfaction of the conditions contained in the purchase agreement between the Company and the Selling Stockholder dated as of December 26, 2023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(ii) 40,000 shares of Common Stock (the “</w:t>
      </w:r>
      <w:r>
        <w:rPr>
          <w:rFonts w:ascii="Times New Roman;Times;Serif" w:hAnsi="Times New Roman;Times;Serif"/>
          <w:b/>
          <w:i w:val="false"/>
          <w:caps w:val="false"/>
          <w:smallCaps w:val="false"/>
          <w:sz w:val="20"/>
        </w:rPr>
        <w:t>Commitment Shares</w:t>
      </w:r>
      <w:r>
        <w:rPr>
          <w:rFonts w:ascii="Times New Roman;Times;Serif" w:hAnsi="Times New Roman;Times;Serif"/>
          <w:b w:val="false"/>
          <w:i w:val="false"/>
          <w:caps w:val="false"/>
          <w:smallCaps w:val="false"/>
          <w:sz w:val="20"/>
        </w:rPr>
        <w:t>”) the Company issued to the Selling Stockholder pursuant to the Purchase Agreement on December 26, 2023, as partial consideration for the commitment of the Selling Stockholder to purchase shares of Common Stock at the election of the Company pursuant to the Purchase Agreement, in each case as described in the Prospectus. The Purchase Shares and the Commitment Shares are collectively referred to herein as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that connection, we have examined originals, or copies certified or otherwise identified to our satisfaction, of the following: (i) the Second Amended and Restated Certificate of Incorporation of the Company in the form filed as Exhibit 3.1 to the Registration Statement, as filed with the Secretary of State of the State of Delaware on September 11, 2023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xml:space="preserve">); (ii) the Amended and Restated Bylaws of the Company in the form filed as Exhibit 3.2 to the Registration Statement, as filed with the Commission on September 15, 2023; (iii) the Purchase Agreement in the form filed as </w:t>
      </w:r>
      <w:r>
        <w:rPr>
          <w:rFonts w:ascii="Times New Roman;Times;Serif" w:hAnsi="Times New Roman;Times;Serif"/>
          <w:b w:val="false"/>
          <w:i w:val="false"/>
          <w:caps w:val="false"/>
          <w:smallCaps w:val="false"/>
          <w:sz w:val="20"/>
          <w:u w:val="single"/>
        </w:rPr>
        <w:t>Exhibit 10.9</w:t>
      </w:r>
      <w:r>
        <w:rPr>
          <w:rFonts w:ascii="Times New Roman;Times;Serif" w:hAnsi="Times New Roman;Times;Serif"/>
          <w:b w:val="false"/>
          <w:i w:val="false"/>
          <w:caps w:val="false"/>
          <w:smallCaps w:val="false"/>
          <w:sz w:val="20"/>
        </w:rPr>
        <w:t xml:space="preserve"> to the Registration Statement; (iv) the registration rights agreement between the Company and the Selling Stockholder dated as of December 26, 2023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xml:space="preserve">”) in the form filed as </w:t>
      </w:r>
      <w:r>
        <w:rPr>
          <w:rFonts w:ascii="Times New Roman;Times;Serif" w:hAnsi="Times New Roman;Times;Serif"/>
          <w:b w:val="false"/>
          <w:i w:val="false"/>
          <w:caps w:val="false"/>
          <w:smallCaps w:val="false"/>
          <w:sz w:val="20"/>
          <w:u w:val="single"/>
        </w:rPr>
        <w:t>Exhibit 10.10</w:t>
      </w:r>
      <w:r>
        <w:rPr>
          <w:rFonts w:ascii="Times New Roman;Times;Serif" w:hAnsi="Times New Roman;Times;Serif"/>
          <w:b w:val="false"/>
          <w:i w:val="false"/>
          <w:caps w:val="false"/>
          <w:smallCaps w:val="false"/>
          <w:sz w:val="20"/>
        </w:rPr>
        <w:t xml:space="preserve"> to the Registration Statement; (v) resolutions adopted by the Board of Directors of the Company on December 22, 2023 relating to, and approving, the Purchase Agreement and the Registration Rights Agreement and the transactions contemplated thereby; (vi) the Registration Statement; (vii) the Prospectus; and (viii) originals or copies certified to our satisfaction of such records, documents, certificates, memoranda and other instruments as in our judgment are necessary or appropriate to enable us to render the opinion expressed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We have not independently established or verified any facts relevant to the opinion expressed herein, but have relied upon statements and representations of officers and other representatives of the Company and others as to factual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further assumed (i) that each sale of Purchase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(ii) that no more than 3,209,360 Purchase Shares will be sold under the Purchase Agreement and (iii) that the price at which the Purchase Shares are sold will equal or exceed the par value of the Purchase Shares. We express no opinion to the extent that future issuances of securities of the Company and/or antidilution adjustments to outstanding securities of the Company may cause the number of Purchase Shares then issuable under the Purchase Agreement to be greater than the number of shares of common stock that remain authorized under the Certificate of Incorporation but unissued or committed to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herein is expressed solely with respect to the DGCL.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qualifications, assumptions and limitations and the further limitations set forth below, we are of the opinion that (i) the Commitment Shares have been duly authorized and validly issued and are fully paid and nonassessable and (ii) the Purchase Shares, when sold and issued against payment therefor in accordance with the Purchase Agreement, the Registration Statement and the Prospectus, will be duly authorized,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Exhibit 5.1 to the Registration Statement. We also consent to the reference to our firm under the heading “Legal Matters” in the Registration Statement and the Prospectus. In giving this consent, we do not thereby admit that we are in the category of persons whose consent is required under Section 7 of the Securities Act or the rules and regulations of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specific issues addressed herein, and no opinion may be inferred or implied beyond that expressly stated herein. We assume no obligation to revise or supplement this opinion should the DGCL be changed by legislative action, judicial decision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REED SMITH LLP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 Smith LLP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fs12023ex23-2_spectralai.htm"/>
      <w:bookmarkStart w:id="48" w:name="ksfs12023ex232_spectralai"/>
      <w:bookmarkEnd w:id="47"/>
      <w:bookmarkEnd w:id="48"/>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23950" cy="447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7"/>
                    <a:stretch>
                      <a:fillRect/>
                    </a:stretch>
                  </pic:blipFill>
                  <pic:spPr bwMode="auto">
                    <a:xfrm>
                      <a:off x="0" y="0"/>
                      <a:ext cx="1123950" cy="447675"/>
                    </a:xfrm>
                    <a:prstGeom prst="rect">
                      <a:avLst/>
                    </a:prstGeom>
                  </pic:spPr>
                </pic:pic>
              </a:graphicData>
            </a:graphic>
          </wp:inline>
        </w:drawing>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1400</w:t>
        <w:br/>
        <w:t>2323 Ross Avenue</w:t>
        <w:br/>
        <w:t>Dallas, TX 75201-2721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February 24, 2023, with respect to the consolidated financial statements of Spectral MD Holdings, Ltd., included herein,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57300" cy="266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8"/>
                    <a:stretch>
                      <a:fillRect/>
                    </a:stretch>
                  </pic:blipFill>
                  <pic:spPr bwMode="auto">
                    <a:xfrm>
                      <a:off x="0" y="0"/>
                      <a:ext cx="1257300" cy="2667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w:t>
        <w:br/>
        <w:t>January 2,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fs12023ex23-3_spectralai.htm"/>
      <w:bookmarkStart w:id="50" w:name="ksfs12023ex233_spectralai"/>
      <w:bookmarkEnd w:id="49"/>
      <w:bookmarkEnd w:id="50"/>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the Prospectus constituting a part of this Registration Statement on Form S-1 of our report dated March 31, 2023 (which includes an explanatory paragraph relating to Rosecliff Acquisition Corp I’s ability to continue as a going concern), relating to the financial statements of Rosecliff Acquisition Corp I, which is contained in that Prospectus. We also consent the reference to our Firm under the caption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fs12023ex-fee_spectralai.htm"/>
      <w:bookmarkStart w:id="52" w:name="ksfs12023exfee_spectralai"/>
      <w:bookmarkEnd w:id="51"/>
      <w:bookmarkEnd w:id="52"/>
      <w:r>
        <w:rPr>
          <w:rFonts w:ascii="Times New Roman;Times;Serif" w:hAnsi="Times New Roman;Times;Serif"/>
          <w:b/>
          <w:i w:val="false"/>
          <w:caps w:val="false"/>
          <w:smallCaps w:val="false"/>
          <w:sz w:val="20"/>
        </w:rPr>
        <w:t>Exhibit 107</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Spectral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and Carry Forward Securities</w:t>
      </w:r>
    </w:p>
    <w:p>
      <w:pPr>
        <w:pStyle w:val="TextBody"/>
        <w:bidi w:val="0"/>
        <w:spacing w:before="0" w:after="0"/>
        <w:ind w:left="0" w:right="0" w:hanging="0"/>
        <w:jc w:val="center"/>
        <w:rPr>
          <w:caps w:val="false"/>
          <w:smallCaps w:val="false"/>
        </w:rPr>
      </w:pPr>
      <w:r>
        <w:rPr>
          <w:caps w:val="false"/>
          <w:smallCaps w:val="false"/>
        </w:rPr>
        <w:t> </w:t>
      </w:r>
    </w:p>
    <w:tbl>
      <w:tblPr>
        <w:tblW w:w="9740" w:type="dxa"/>
        <w:jc w:val="left"/>
        <w:tblInd w:w="0" w:type="dxa"/>
        <w:tblLayout w:type="fixed"/>
        <w:tblCellMar>
          <w:top w:w="0" w:type="dxa"/>
          <w:left w:w="0" w:type="dxa"/>
          <w:bottom w:w="0" w:type="dxa"/>
          <w:right w:w="0" w:type="dxa"/>
        </w:tblCellMar>
      </w:tblPr>
      <w:tblGrid>
        <w:gridCol w:w="1250"/>
        <w:gridCol w:w="60"/>
        <w:gridCol w:w="725"/>
        <w:gridCol w:w="60"/>
        <w:gridCol w:w="1280"/>
        <w:gridCol w:w="60"/>
        <w:gridCol w:w="1010"/>
        <w:gridCol w:w="60"/>
        <w:gridCol w:w="920"/>
        <w:gridCol w:w="60"/>
        <w:gridCol w:w="224"/>
        <w:gridCol w:w="681"/>
        <w:gridCol w:w="60"/>
        <w:gridCol w:w="125"/>
        <w:gridCol w:w="845"/>
        <w:gridCol w:w="60"/>
        <w:gridCol w:w="1055"/>
        <w:gridCol w:w="60"/>
        <w:gridCol w:w="219"/>
        <w:gridCol w:w="851"/>
        <w:gridCol w:w="7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Security</w:t>
              <w:br/>
              <w:t>Type</w:t>
            </w:r>
          </w:p>
        </w:tc>
        <w:tc>
          <w:tcPr>
            <w:tcW w:w="60" w:type="dxa"/>
            <w:tcBorders/>
            <w:vAlign w:val="center"/>
          </w:tcPr>
          <w:p>
            <w:pPr>
              <w:pStyle w:val="TableContents"/>
              <w:bidi w:val="0"/>
              <w:spacing w:before="0" w:after="283"/>
              <w:jc w:val="left"/>
              <w:rPr/>
            </w:pPr>
            <w:r>
              <w:rPr/>
              <w:t> </w:t>
            </w:r>
          </w:p>
        </w:tc>
        <w:tc>
          <w:tcPr>
            <w:tcW w:w="128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Security</w:t>
              <w:br/>
              <w:t>Class</w:t>
              <w:br/>
              <w:t>Title</w:t>
            </w:r>
          </w:p>
        </w:tc>
        <w:tc>
          <w:tcPr>
            <w:tcW w:w="60" w:type="dxa"/>
            <w:tcBorders/>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Fee</w:t>
              <w:br/>
              <w:t>Calculation</w:t>
              <w:br/>
              <w:t>or Carry</w:t>
              <w:br/>
              <w:t>Forward</w:t>
              <w:br/>
              <w:t>Rule</w:t>
            </w:r>
          </w:p>
        </w:tc>
        <w:tc>
          <w:tcPr>
            <w:tcW w:w="6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br/>
              <w:t>Registered</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Proposed</w:t>
              <w:br/>
              <w:t>Maximum</w:t>
              <w:br/>
              <w:t>Offering</w:t>
              <w:br/>
              <w:t>Price Per</w:t>
              <w:br/>
              <w:t>Unit (1)</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Maximum</w:t>
              <w:br/>
              <w:t>Aggregate</w:t>
              <w:br/>
              <w:t>Offering</w:t>
              <w:br/>
              <w:t>Price</w:t>
            </w:r>
          </w:p>
        </w:tc>
        <w:tc>
          <w:tcPr>
            <w:tcW w:w="60" w:type="dxa"/>
            <w:tcBorders/>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Fee</w:t>
              <w:br/>
              <w:t>Rate</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 of</w:t>
              <w:br/>
              <w:t>Registration</w:t>
              <w:br/>
              <w:t>Fee</w:t>
            </w:r>
          </w:p>
        </w:tc>
        <w:tc>
          <w:tcPr>
            <w:tcW w:w="75" w:type="dxa"/>
            <w:tcBorders/>
            <w:vAlign w:val="center"/>
          </w:tcPr>
          <w:p>
            <w:pPr>
              <w:pStyle w:val="TableContents"/>
              <w:bidi w:val="0"/>
              <w:spacing w:before="0" w:after="283"/>
              <w:jc w:val="left"/>
              <w:rPr/>
            </w:pPr>
            <w:r>
              <w:rPr/>
              <w:t> </w:t>
            </w:r>
          </w:p>
        </w:tc>
      </w:tr>
      <w:tr>
        <w:trPr/>
        <w:tc>
          <w:tcPr>
            <w:tcW w:w="9665" w:type="dxa"/>
            <w:gridSpan w:val="20"/>
            <w:tcBorders/>
            <w:vAlign w:val="center"/>
          </w:tcPr>
          <w:p>
            <w:pPr>
              <w:pStyle w:val="TableContents"/>
              <w:bidi w:val="0"/>
              <w:spacing w:before="0" w:after="283"/>
              <w:jc w:val="center"/>
              <w:rPr>
                <w:b/>
                <w:sz w:val="20"/>
              </w:rPr>
            </w:pPr>
            <w:r>
              <w:rPr>
                <w:b/>
                <w:sz w:val="20"/>
              </w:rPr>
              <w:t>Newly Registered Securities</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to be Paid</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sz w:val="20"/>
              </w:rPr>
            </w:pPr>
            <w:r>
              <w:rPr>
                <w:sz w:val="20"/>
              </w:rPr>
              <w:t>Equity</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sz w:val="20"/>
              </w:rPr>
            </w:pPr>
            <w:r>
              <w:rPr>
                <w:sz w:val="20"/>
              </w:rPr>
              <w:t>Common Stock</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sz w:val="20"/>
              </w:rPr>
            </w:pPr>
            <w:r>
              <w:rPr>
                <w:sz w:val="20"/>
              </w:rPr>
              <w:t>457(c)</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20"/>
              </w:rPr>
            </w:pPr>
            <w:r>
              <w:rPr>
                <w:sz w:val="20"/>
              </w:rPr>
              <w:t>3,249,360</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20"/>
              </w:rPr>
            </w:pPr>
            <w:r>
              <w:rPr>
                <w:sz w:val="20"/>
              </w:rPr>
              <w:t>$</w:t>
            </w:r>
          </w:p>
        </w:tc>
        <w:tc>
          <w:tcPr>
            <w:tcW w:w="681" w:type="dxa"/>
            <w:tcBorders/>
            <w:shd w:fill="CCEEFF" w:val="clear"/>
            <w:vAlign w:val="center"/>
          </w:tcPr>
          <w:p>
            <w:pPr>
              <w:pStyle w:val="TableContents"/>
              <w:bidi w:val="0"/>
              <w:spacing w:before="0" w:after="283"/>
              <w:jc w:val="right"/>
              <w:rPr>
                <w:sz w:val="20"/>
              </w:rPr>
            </w:pPr>
            <w:r>
              <w:rPr>
                <w:sz w:val="20"/>
              </w:rPr>
              <w:t>2.50</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35" w:type="dxa"/>
            </w:tcMar>
            <w:vAlign w:val="center"/>
          </w:tcPr>
          <w:p>
            <w:pPr>
              <w:pStyle w:val="TableContents"/>
              <w:bidi w:val="0"/>
              <w:spacing w:before="0" w:after="283"/>
              <w:jc w:val="left"/>
              <w:rPr>
                <w:sz w:val="20"/>
              </w:rPr>
            </w:pPr>
            <w:r>
              <w:rPr>
                <w:sz w:val="20"/>
              </w:rPr>
              <w:t>$</w:t>
            </w:r>
          </w:p>
        </w:tc>
        <w:tc>
          <w:tcPr>
            <w:tcW w:w="845" w:type="dxa"/>
            <w:tcBorders>
              <w:bottom w:val="single" w:sz="12" w:space="0" w:color="000000"/>
            </w:tcBorders>
            <w:shd w:fill="CCEEFF" w:val="clear"/>
            <w:tcMar>
              <w:bottom w:w="35"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8,123,400</w:t>
            </w:r>
          </w:p>
        </w:tc>
        <w:tc>
          <w:tcPr>
            <w:tcW w:w="60" w:type="dxa"/>
            <w:tcBorders>
              <w:bottom w:val="single" w:sz="8" w:space="0" w:color="FFFFFF"/>
            </w:tcBorders>
            <w:shd w:fill="CCEEFF" w:val="clear"/>
            <w:tcMar>
              <w:bottom w:w="35"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35" w:type="dxa"/>
            </w:tcMar>
            <w:vAlign w:val="center"/>
          </w:tcPr>
          <w:p>
            <w:pPr>
              <w:pStyle w:val="TableContents"/>
              <w:bidi w:val="0"/>
              <w:spacing w:before="0" w:after="283"/>
              <w:jc w:val="right"/>
              <w:rPr>
                <w:sz w:val="20"/>
              </w:rPr>
            </w:pPr>
            <w:r>
              <w:rPr>
                <w:sz w:val="20"/>
              </w:rPr>
              <w:t>0. 00014760</w:t>
            </w:r>
          </w:p>
        </w:tc>
        <w:tc>
          <w:tcPr>
            <w:tcW w:w="60" w:type="dxa"/>
            <w:tcBorders>
              <w:bottom w:val="single" w:sz="8" w:space="0" w:color="FFFFFF"/>
            </w:tcBorders>
            <w:shd w:fill="CCEEFF" w:val="clear"/>
            <w:tcMar>
              <w:bottom w:w="35" w:type="dxa"/>
            </w:tcM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35" w:type="dxa"/>
            </w:tcMar>
            <w:vAlign w:val="center"/>
          </w:tcPr>
          <w:p>
            <w:pPr>
              <w:pStyle w:val="TableContents"/>
              <w:bidi w:val="0"/>
              <w:spacing w:before="0" w:after="283"/>
              <w:jc w:val="left"/>
              <w:rPr>
                <w:sz w:val="20"/>
              </w:rPr>
            </w:pPr>
            <w:r>
              <w:rPr>
                <w:sz w:val="20"/>
              </w:rPr>
              <w:t>$</w:t>
            </w:r>
          </w:p>
        </w:tc>
        <w:tc>
          <w:tcPr>
            <w:tcW w:w="851" w:type="dxa"/>
            <w:tcBorders>
              <w:bottom w:val="single" w:sz="12" w:space="0" w:color="000000"/>
            </w:tcBorders>
            <w:shd w:fill="CCEEFF" w:val="clear"/>
            <w:tcMar>
              <w:bottom w:w="35" w:type="dxa"/>
            </w:tcMar>
            <w:vAlign w:val="center"/>
          </w:tcPr>
          <w:p>
            <w:pPr>
              <w:pStyle w:val="TableContents"/>
              <w:bidi w:val="0"/>
              <w:spacing w:before="0" w:after="283"/>
              <w:jc w:val="right"/>
              <w:rPr>
                <w:sz w:val="20"/>
              </w:rPr>
            </w:pPr>
            <w:r>
              <w:rPr>
                <w:sz w:val="20"/>
              </w:rPr>
              <w:t>1,199</w:t>
            </w:r>
          </w:p>
        </w:tc>
        <w:tc>
          <w:tcPr>
            <w:tcW w:w="75" w:type="dxa"/>
            <w:tcBorders>
              <w:bottom w:val="single" w:sz="8" w:space="0" w:color="FFFFFF"/>
            </w:tcBorders>
            <w:shd w:fill="CCEEFF" w:val="clear"/>
            <w:tcMar>
              <w:bottom w:w="35"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5" w:type="dxa"/>
            <w:gridSpan w:val="6"/>
            <w:tcBorders/>
            <w:shd w:fill="CCEEFF" w:val="clear"/>
            <w:vAlign w:val="center"/>
          </w:tcPr>
          <w:p>
            <w:pPr>
              <w:pStyle w:val="TableContents"/>
              <w:bidi w:val="0"/>
              <w:spacing w:before="0" w:after="283"/>
              <w:jc w:val="right"/>
              <w:rPr>
                <w:b/>
                <w:sz w:val="20"/>
              </w:rPr>
            </w:pPr>
            <w:r>
              <w:rPr>
                <w:b/>
                <w:sz w:val="20"/>
              </w:rPr>
              <w:t>Total Offering Amounts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35" w:type="dxa"/>
            </w:tcMar>
            <w:vAlign w:val="center"/>
          </w:tcPr>
          <w:p>
            <w:pPr>
              <w:pStyle w:val="TableContents"/>
              <w:bidi w:val="0"/>
              <w:spacing w:before="0" w:after="283"/>
              <w:jc w:val="left"/>
              <w:rPr>
                <w:sz w:val="20"/>
              </w:rPr>
            </w:pPr>
            <w:r>
              <w:rPr>
                <w:sz w:val="20"/>
              </w:rPr>
              <w:t>$</w:t>
            </w:r>
          </w:p>
        </w:tc>
        <w:tc>
          <w:tcPr>
            <w:tcW w:w="845" w:type="dxa"/>
            <w:tcBorders>
              <w:bottom w:val="single" w:sz="12" w:space="0" w:color="000000"/>
            </w:tcBorders>
            <w:shd w:fill="CCEEFF" w:val="clear"/>
            <w:tcMar>
              <w:bottom w:w="35" w:type="dxa"/>
            </w:tcMar>
            <w:vAlign w:val="center"/>
          </w:tcPr>
          <w:p>
            <w:pPr>
              <w:pStyle w:val="TableContents"/>
              <w:bidi w:val="0"/>
              <w:spacing w:before="0" w:after="283"/>
              <w:jc w:val="right"/>
              <w:rPr>
                <w:sz w:val="20"/>
              </w:rPr>
            </w:pPr>
            <w:r>
              <w:rPr>
                <w:sz w:val="20"/>
              </w:rPr>
              <w:t>8,123,400</w:t>
            </w:r>
          </w:p>
        </w:tc>
        <w:tc>
          <w:tcPr>
            <w:tcW w:w="60" w:type="dxa"/>
            <w:tcBorders>
              <w:bottom w:val="single" w:sz="8" w:space="0" w:color="FFFFFF"/>
            </w:tcBorders>
            <w:shd w:fill="CCEEFF" w:val="clear"/>
            <w:tcMar>
              <w:bottom w:w="35" w:type="dxa"/>
            </w:tcMar>
            <w:vAlign w:val="center"/>
          </w:tcPr>
          <w:p>
            <w:pPr>
              <w:pStyle w:val="TableContents"/>
              <w:bidi w:val="0"/>
              <w:spacing w:before="0" w:after="283"/>
              <w:jc w:val="left"/>
              <w:rPr/>
            </w:pPr>
            <w:r>
              <w:rPr/>
              <w:t> </w:t>
            </w:r>
          </w:p>
        </w:tc>
        <w:tc>
          <w:tcPr>
            <w:tcW w:w="1055" w:type="dxa"/>
            <w:tcBorders>
              <w:bottom w:val="single" w:sz="8" w:space="0" w:color="FFFFFF"/>
            </w:tcBorders>
            <w:shd w:fill="CCEEFF" w:val="clear"/>
            <w:tcMar>
              <w:bottom w:w="35" w:type="dxa"/>
            </w:tcMar>
            <w:vAlign w:val="center"/>
          </w:tcPr>
          <w:p>
            <w:pPr>
              <w:pStyle w:val="TableContents"/>
              <w:bidi w:val="0"/>
              <w:spacing w:before="0" w:after="283"/>
              <w:jc w:val="left"/>
              <w:rPr/>
            </w:pPr>
            <w:r>
              <w:rPr/>
              <w:t> </w:t>
            </w:r>
          </w:p>
        </w:tc>
        <w:tc>
          <w:tcPr>
            <w:tcW w:w="60" w:type="dxa"/>
            <w:tcBorders>
              <w:bottom w:val="single" w:sz="8" w:space="0" w:color="FFFFFF"/>
            </w:tcBorders>
            <w:shd w:fill="CCEEFF" w:val="clear"/>
            <w:tcMar>
              <w:bottom w:w="35" w:type="dxa"/>
            </w:tcM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35" w:type="dxa"/>
            </w:tcMar>
            <w:vAlign w:val="center"/>
          </w:tcPr>
          <w:p>
            <w:pPr>
              <w:pStyle w:val="TableContents"/>
              <w:bidi w:val="0"/>
              <w:spacing w:before="0" w:after="283"/>
              <w:jc w:val="left"/>
              <w:rPr>
                <w:sz w:val="20"/>
              </w:rPr>
            </w:pPr>
            <w:r>
              <w:rPr>
                <w:sz w:val="20"/>
              </w:rPr>
              <w:t>$</w:t>
            </w:r>
          </w:p>
        </w:tc>
        <w:tc>
          <w:tcPr>
            <w:tcW w:w="851" w:type="dxa"/>
            <w:tcBorders>
              <w:bottom w:val="single" w:sz="12" w:space="0" w:color="000000"/>
            </w:tcBorders>
            <w:shd w:fill="CCEEFF" w:val="clear"/>
            <w:tcMar>
              <w:bottom w:w="35" w:type="dxa"/>
            </w:tcMar>
            <w:vAlign w:val="center"/>
          </w:tcPr>
          <w:p>
            <w:pPr>
              <w:pStyle w:val="TableContents"/>
              <w:bidi w:val="0"/>
              <w:spacing w:before="0" w:after="283"/>
              <w:jc w:val="right"/>
              <w:rPr>
                <w:sz w:val="20"/>
              </w:rPr>
            </w:pPr>
            <w:r>
              <w:rPr>
                <w:sz w:val="20"/>
              </w:rPr>
              <w:t>1,199</w:t>
            </w:r>
          </w:p>
        </w:tc>
        <w:tc>
          <w:tcPr>
            <w:tcW w:w="75" w:type="dxa"/>
            <w:tcBorders>
              <w:bottom w:val="single" w:sz="8" w:space="0" w:color="FFFFFF"/>
            </w:tcBorders>
            <w:shd w:fill="CCEEFF" w:val="clear"/>
            <w:tcMar>
              <w:bottom w:w="35"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5" w:type="dxa"/>
            <w:gridSpan w:val="6"/>
            <w:tcBorders/>
            <w:shd w:fill="FFFFFF" w:val="clear"/>
            <w:vAlign w:val="center"/>
          </w:tcPr>
          <w:p>
            <w:pPr>
              <w:pStyle w:val="TableContents"/>
              <w:bidi w:val="0"/>
              <w:spacing w:before="0" w:after="283"/>
              <w:jc w:val="right"/>
              <w:rPr>
                <w:b/>
                <w:sz w:val="20"/>
              </w:rPr>
            </w:pPr>
            <w:r>
              <w:rPr>
                <w:b/>
                <w:sz w:val="20"/>
              </w:rPr>
              <w:t>Total Fees Previously Paid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35" w:type="dxa"/>
            </w:tcMar>
            <w:vAlign w:val="center"/>
          </w:tcPr>
          <w:p>
            <w:pPr>
              <w:pStyle w:val="TableContents"/>
              <w:bidi w:val="0"/>
              <w:spacing w:before="0" w:after="283"/>
              <w:jc w:val="left"/>
              <w:rPr>
                <w:sz w:val="20"/>
              </w:rPr>
            </w:pPr>
            <w:r>
              <w:rPr>
                <w:sz w:val="20"/>
              </w:rPr>
              <w:t>$</w:t>
            </w:r>
          </w:p>
        </w:tc>
        <w:tc>
          <w:tcPr>
            <w:tcW w:w="851" w:type="dxa"/>
            <w:tcBorders>
              <w:bottom w:val="single" w:sz="12" w:space="0" w:color="000000"/>
            </w:tcBorders>
            <w:shd w:fill="FFFFFF" w:val="clear"/>
            <w:tcMar>
              <w:bottom w:w="35" w:type="dxa"/>
            </w:tcMar>
            <w:vAlign w:val="center"/>
          </w:tcPr>
          <w:p>
            <w:pPr>
              <w:pStyle w:val="TableContents"/>
              <w:bidi w:val="0"/>
              <w:spacing w:before="0" w:after="283"/>
              <w:jc w:val="right"/>
              <w:rPr>
                <w:sz w:val="20"/>
              </w:rPr>
            </w:pPr>
            <w:r>
              <w:rPr>
                <w:sz w:val="20"/>
              </w:rPr>
              <w:t>0</w:t>
            </w:r>
          </w:p>
        </w:tc>
        <w:tc>
          <w:tcPr>
            <w:tcW w:w="75" w:type="dxa"/>
            <w:tcBorders>
              <w:bottom w:val="single" w:sz="8" w:space="0" w:color="FFFFFF"/>
            </w:tcBorders>
            <w:shd w:fill="FFFFFF" w:val="clear"/>
            <w:tcMar>
              <w:bottom w:w="35" w:type="dxa"/>
            </w:tcM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5" w:type="dxa"/>
            <w:gridSpan w:val="6"/>
            <w:tcBorders/>
            <w:shd w:fill="CCEEFF" w:val="clear"/>
            <w:vAlign w:val="center"/>
          </w:tcPr>
          <w:p>
            <w:pPr>
              <w:pStyle w:val="TableContents"/>
              <w:bidi w:val="0"/>
              <w:spacing w:before="0" w:after="283"/>
              <w:jc w:val="right"/>
              <w:rPr>
                <w:b/>
                <w:sz w:val="20"/>
              </w:rPr>
            </w:pPr>
            <w:r>
              <w:rPr>
                <w:b/>
                <w:sz w:val="20"/>
              </w:rPr>
              <w:t>Total Fee Offsets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35" w:type="dxa"/>
            </w:tcMar>
            <w:vAlign w:val="center"/>
          </w:tcPr>
          <w:p>
            <w:pPr>
              <w:pStyle w:val="TableContents"/>
              <w:bidi w:val="0"/>
              <w:spacing w:before="0" w:after="283"/>
              <w:jc w:val="left"/>
              <w:rPr>
                <w:sz w:val="20"/>
              </w:rPr>
            </w:pPr>
            <w:r>
              <w:rPr>
                <w:sz w:val="20"/>
              </w:rPr>
              <w:t>$</w:t>
            </w:r>
          </w:p>
        </w:tc>
        <w:tc>
          <w:tcPr>
            <w:tcW w:w="851" w:type="dxa"/>
            <w:tcBorders>
              <w:bottom w:val="single" w:sz="12" w:space="0" w:color="000000"/>
            </w:tcBorders>
            <w:shd w:fill="CCEEFF" w:val="clear"/>
            <w:tcMar>
              <w:bottom w:w="35" w:type="dxa"/>
            </w:tcMar>
            <w:vAlign w:val="center"/>
          </w:tcPr>
          <w:p>
            <w:pPr>
              <w:pStyle w:val="TableContents"/>
              <w:bidi w:val="0"/>
              <w:spacing w:before="0" w:after="283"/>
              <w:jc w:val="right"/>
              <w:rPr>
                <w:sz w:val="20"/>
              </w:rPr>
            </w:pPr>
            <w:r>
              <w:rPr>
                <w:sz w:val="20"/>
              </w:rPr>
              <w:t>0</w:t>
            </w:r>
          </w:p>
        </w:tc>
        <w:tc>
          <w:tcPr>
            <w:tcW w:w="75" w:type="dxa"/>
            <w:tcBorders>
              <w:bottom w:val="single" w:sz="8" w:space="0" w:color="FFFFFF"/>
            </w:tcBorders>
            <w:shd w:fill="CCEEFF" w:val="clear"/>
            <w:tcMar>
              <w:bottom w:w="35"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5" w:type="dxa"/>
            <w:gridSpan w:val="6"/>
            <w:tcBorders/>
            <w:shd w:fill="FFFFFF" w:val="clear"/>
            <w:vAlign w:val="center"/>
          </w:tcPr>
          <w:p>
            <w:pPr>
              <w:pStyle w:val="TableContents"/>
              <w:bidi w:val="0"/>
              <w:spacing w:before="0" w:after="283"/>
              <w:jc w:val="right"/>
              <w:rPr>
                <w:b/>
                <w:sz w:val="20"/>
              </w:rPr>
            </w:pPr>
            <w:r>
              <w:rPr>
                <w:b/>
                <w:sz w:val="20"/>
              </w:rPr>
              <w:t>Net Fee Due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35" w:type="dxa"/>
            </w:tcMar>
            <w:vAlign w:val="center"/>
          </w:tcPr>
          <w:p>
            <w:pPr>
              <w:pStyle w:val="TableContents"/>
              <w:bidi w:val="0"/>
              <w:spacing w:before="0" w:after="283"/>
              <w:jc w:val="left"/>
              <w:rPr>
                <w:sz w:val="20"/>
              </w:rPr>
            </w:pPr>
            <w:r>
              <w:rPr>
                <w:sz w:val="20"/>
              </w:rPr>
              <w:t>$</w:t>
            </w:r>
          </w:p>
        </w:tc>
        <w:tc>
          <w:tcPr>
            <w:tcW w:w="851" w:type="dxa"/>
            <w:tcBorders>
              <w:bottom w:val="single" w:sz="12" w:space="0" w:color="000000"/>
            </w:tcBorders>
            <w:shd w:fill="FFFFFF" w:val="clear"/>
            <w:tcMar>
              <w:bottom w:w="35" w:type="dxa"/>
            </w:tcMar>
            <w:vAlign w:val="center"/>
          </w:tcPr>
          <w:p>
            <w:pPr>
              <w:pStyle w:val="TableContents"/>
              <w:bidi w:val="0"/>
              <w:spacing w:before="0" w:after="283"/>
              <w:jc w:val="right"/>
              <w:rPr>
                <w:sz w:val="20"/>
              </w:rPr>
            </w:pPr>
            <w:r>
              <w:rPr>
                <w:sz w:val="20"/>
              </w:rPr>
              <w:t>1,199</w:t>
            </w:r>
          </w:p>
        </w:tc>
        <w:tc>
          <w:tcPr>
            <w:tcW w:w="75" w:type="dxa"/>
            <w:tcBorders>
              <w:bottom w:val="single" w:sz="8" w:space="0" w:color="FFFFFF"/>
            </w:tcBorders>
            <w:shd w:fill="FFFFFF" w:val="clear"/>
            <w:tcMar>
              <w:bottom w:w="35"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20"/>
              </w:rPr>
            </w:pPr>
            <w:r>
              <w:rPr>
                <w:sz w:val="20"/>
              </w:rPr>
              <w:t>1.</w:t>
            </w:r>
          </w:p>
        </w:tc>
        <w:tc>
          <w:tcPr>
            <w:tcW w:w="10025" w:type="dxa"/>
            <w:tcBorders/>
            <w:vAlign w:val="center"/>
          </w:tcPr>
          <w:p>
            <w:pPr>
              <w:pStyle w:val="TableContents"/>
              <w:bidi w:val="0"/>
              <w:spacing w:before="0" w:after="283"/>
              <w:jc w:val="both"/>
              <w:rPr>
                <w:sz w:val="20"/>
              </w:rPr>
            </w:pPr>
            <w:r>
              <w:rPr>
                <w:sz w:val="20"/>
              </w:rPr>
              <w:t>The proposed maximum offering price per unit is estimated solely for purposes of calculating the registration fee according to Rule 457(c) under the Securities Act based on the average of the high and low prices of the registrant’s common stock quoted on The Nasdaq Capital Market on January 2, 2024.</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www.sec.gov/Archives/edgar/data/1833498/000121390023077038/ea185228ex3-1_spectral.htm" TargetMode="External"/><Relationship Id="rId13" Type="http://schemas.openxmlformats.org/officeDocument/2006/relationships/hyperlink" Target="https://www.sec.gov/Archives/edgar/data/1833498/000121390023077038/ea185228ex3-2_spectral.htm" TargetMode="External"/><Relationship Id="rId14" Type="http://schemas.openxmlformats.org/officeDocument/2006/relationships/hyperlink" Target="http://www.sec.gov/Archives/edgar/data/1833498/000121390021010097/ea135884ex4-1_rosecliff.htm" TargetMode="External"/><Relationship Id="rId15" Type="http://schemas.openxmlformats.org/officeDocument/2006/relationships/hyperlink" Target="http://www.sec.gov/Archives/edgar/data/1833498/000121390022016396/f10k2021ex4-2_rosecliff1.htm" TargetMode="External"/><Relationship Id="rId16" Type="http://schemas.openxmlformats.org/officeDocument/2006/relationships/hyperlink" Target="http://www.sec.gov/Archives/edgar/data/1833498/000121390023077038/ea185228ex10-2_spectral.htm" TargetMode="External"/><Relationship Id="rId17" Type="http://schemas.openxmlformats.org/officeDocument/2006/relationships/hyperlink" Target="http://www.sec.gov/Archives/edgar/data/1833498/000121390023077038/ea185228ex10-1_spectral.htm" TargetMode="External"/><Relationship Id="rId18" Type="http://schemas.openxmlformats.org/officeDocument/2006/relationships/hyperlink" Target="http://www.sec.gov/Archives/edgar/data/1833498/000121390021010097/ea135884ex10-5_rosecliff.htm" TargetMode="External"/><Relationship Id="rId19" Type="http://schemas.openxmlformats.org/officeDocument/2006/relationships/hyperlink" Target="http://www.sec.gov/Archives/edgar/data/1833498/000121390023060311/fs42023a2ex10-14_rosecliff1.htm" TargetMode="External"/><Relationship Id="rId20" Type="http://schemas.openxmlformats.org/officeDocument/2006/relationships/hyperlink" Target="http://www.sec.gov/Archives/edgar/data/1833498/000121390023060311/fs42023a2ex10-15_rosecliff1.htm" TargetMode="External"/><Relationship Id="rId21" Type="http://schemas.openxmlformats.org/officeDocument/2006/relationships/hyperlink" Target="http://www.sec.gov/Archives/edgar/data/1833498/000121390023060311/fs42023a2ex10-16_rosecliff1.htm" TargetMode="External"/><Relationship Id="rId22" Type="http://schemas.openxmlformats.org/officeDocument/2006/relationships/hyperlink" Target="http://www.sec.gov/Archives/edgar/data/1833498/000121390023060311/fs42023a2ex10-17_rosecliff1.htm" TargetMode="External"/><Relationship Id="rId23" Type="http://schemas.openxmlformats.org/officeDocument/2006/relationships/hyperlink" Target="http://www.sec.gov/Archives/edgar/data/1833498/000121390023060311/fs42023a2ex10-18_rosecliff1.htm" TargetMode="External"/><Relationship Id="rId24" Type="http://schemas.openxmlformats.org/officeDocument/2006/relationships/hyperlink" Target="http://www.sec.gov/Archives/edgar/data/1833498/000121390023098718/ea190752ex10-1_spectralai.htm" TargetMode="External"/><Relationship Id="rId25" Type="http://schemas.openxmlformats.org/officeDocument/2006/relationships/hyperlink" Target="http://www.sec.gov/Archives/edgar/data/1833498/000121390023098718/ea190752ex10-2_spectralai.htm" TargetMode="External"/><Relationship Id="rId26" Type="http://schemas.openxmlformats.org/officeDocument/2006/relationships/image" Target="media/image11.jpeg"/><Relationship Id="rId27" Type="http://schemas.openxmlformats.org/officeDocument/2006/relationships/image" Target="media/image12.jpeg"/><Relationship Id="rId28" Type="http://schemas.openxmlformats.org/officeDocument/2006/relationships/image" Target="media/image13.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245</Pages>
  <Words>148456</Words>
  <Characters>807152</Characters>
  <CharactersWithSpaces>957637</CharactersWithSpaces>
  <Paragraphs>11899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