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DiMaio John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2515 MCKINNEY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Spectral AI, Inc.</w:t>
              </w:r>
            </w:hyperlink>
            <w:r>
              <w:rPr/>
              <w:t xml:space="preserve"> [ </w:t>
            </w:r>
            <w:r>
              <w:rPr>
                <w:rFonts w:ascii="Times;serif" w:hAnsi="Times;serif"/>
                <w:color w:val="0000FF"/>
                <w:sz w:val="24"/>
                <w:shd w:fill="FFFFFF" w:val="clear"/>
              </w:rPr>
              <w:t>MDAI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2,766,847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NQSO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stock options vested on the date of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stock options were vested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100,000 of the stock options were vested as of the date hereof. The remaining 150,000 stock options vest upon the achievement of certain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50% of the RSUs vested on April 20, 2026. 50% of the RSUs will vest on April 1,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Michael DiMaio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856" TargetMode="External"/><Relationship Id="rId5" Type="http://schemas.openxmlformats.org/officeDocument/2006/relationships/hyperlink" Target="http://www.sec.gov/cgi-bin/browse-edgar?action=getcompany&amp;CIK=00018334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3884</Characters>
  <CharactersWithSpaces>4515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