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Spectral AI,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AG</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(DIFC)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(Ireland)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 Levine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Stefan Renold</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2,106,358.00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2,106,358.00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2,106,358.00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Spectral AI,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2515 McKinney Avenue, Suite 1000,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LMR Partners LLP, LMR Partners Limited, LMR Partners LLC, LMR Partners AG, LMR Partners (DIFC) Limited and LMR Partners (Ireland) Limited (collectively, the "LMR Investment Managers"), which serve as the investment managers to certain funds with respect to the Common Stock, par value $0.0001 per share ("Common Stock"), held by certain funds; and (ii) Ben Levine and Stefan Renold, who are ultimately in control of the investment and voting decisions of the LMR Investment Managers with respect to the securities held by certain funds.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LMR Partners LLP, 9th Floor, Devonshire House, 1 Mayfair Place, London, W1J 8AJ, United Kingdom.</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LMR Partners LLP is a United Kingdom limited liability partnership. LMR Partners Limited is a Hong Kong corporation. LMR Partners LLC is a Delaware limited liability company. LMR Partners AG is a Swiss corporation. LMR Partners (DIFC) Limited is a United Arab Emirates corporation. LMR Partners (Ireland) Limited is a limited company incorporated in Ireland. Ben Levine is a citizen of the United Kingdom. Stefan Renold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0"/>
              <w:jc w:val="left"/>
              <w:rPr/>
            </w:pPr>
            <w:r>
              <w:rPr/>
              <w:t>Investment Adviser</w:t>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of the Reporting Persons and is incorporated herein by reference. As of June 30, 2026: The Common Stock beneficially owned by the Reporting Persons is directly held by LMR Multi-Strategy Master Fund Limited ("LMR Master Fund") and LMR CCSA Master Fund Ltd ("LMR CCSA Master Fund"). Each of LMR Master Fund and LMR CCSA Master Fund directly holds warrants to purchase 1,053,179 shares of Common Stock ("Warrants"), with a total of 2,106,358 shares of Common Stock issuable upon the exercise of the Warrants.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shares of Common Stock issuable upon the exercise of the Warrants held by each of LMR Master Fund and LMR CCSA Master Fund represent approximately 3.2% and the shares of Common Stock issuable upon the exercise of the Warrants held by LMR Master Fund and LMR CCSA Master Fund in the aggregate represent approximately 6.2% of the outstanding shares of Common Stock, based on 31,823,985 shares of Common Stock of the Issuer outstanding as of May 29, 2026, as reported in the Issuer's Form 8-K filed with the Securities and Exchange Commission on June 1, 2026, plus shares that may be acquired by such Reporting Persons within 60 days.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each of the Reporting Persons had sole power to vote or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each of the Reporting Persons had shared power to vote or direct the vote of 2,106,358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each of the Reporting Persons had sole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each of the Reporting Persons had shared power to dispose or to direct the disposition of 2,106,358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beneficially owned by the Reporting Persons are directly held by LMR Master Fund and LMR CCSA Master Fund, for which the LMR Investment Managers serve as the investment managers.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Item 10.</w:t>
            </w:r>
          </w:p>
        </w:tc>
        <w:tc>
          <w:tcPr>
            <w:tcW w:w="9035" w:type="dxa"/>
            <w:tcBorders/>
            <w:vAlign w:val="center"/>
          </w:tcPr>
          <w:p>
            <w:pPr>
              <w:pStyle w:val="TableContents"/>
              <w:bidi w:val="0"/>
              <w:spacing w:before="0" w:after="283"/>
              <w:jc w:val="left"/>
              <w:rPr/>
            </w:pPr>
            <w:r>
              <w:rPr/>
              <w:t>Certifications:</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LMR Partners LLP, LMR Partners Limited, LMR Partners AG, LMR Partners (DIFC) Limited and LMR Partners (Ireland) Limited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LMR Partners LLP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LMR PARTNERS Ltd</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LMR Partners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Allyson Hanlon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Deputy General Counsel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LMR Partners AG</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LMR PARTNERS (DIFC) Ltd</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LMR Partners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Ben Levine</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9"/>
        <w:gridCol w:w="4456"/>
      </w:tblGrid>
      <w:tr>
        <w:trPr/>
        <w:tc>
          <w:tcPr>
            <w:tcW w:w="57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Ben Levine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Self</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Stefan Renold</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Stefan Renold</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Self</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b/>
        </w:rPr>
      </w:pPr>
      <w:bookmarkStart w:id="44" w:name="exhibit99-1.htm"/>
      <w:bookmarkStart w:id="45" w:name="ksexhibit991"/>
      <w:bookmarkEnd w:id="44"/>
      <w:bookmarkEnd w:id="45"/>
      <w:r>
        <w:rPr>
          <w:b/>
        </w:rPr>
        <w:t>EXHIBIT 99.1</w:t>
      </w:r>
      <w:r>
        <w:br w:type="page"/>
      </w:r>
    </w:p>
    <w:p>
      <w:pPr>
        <w:pStyle w:val="TextBody"/>
        <w:bidi w:val="0"/>
        <w:spacing w:before="0" w:after="283"/>
        <w:jc w:val="left"/>
        <w:rPr/>
      </w:pPr>
      <w:r>
        <w:rPr/>
      </w:r>
    </w:p>
    <w:p>
      <w:pPr>
        <w:pStyle w:val="TextBody"/>
        <w:bidi w:val="0"/>
        <w:jc w:val="center"/>
        <w:rPr>
          <w:b/>
        </w:rPr>
      </w:pPr>
      <w:r>
        <w:rPr>
          <w:b/>
        </w:rPr>
        <w:t>JOINT FILING AGREEMENT</w:t>
      </w:r>
    </w:p>
    <w:p>
      <w:pPr>
        <w:pStyle w:val="TextBody"/>
        <w:bidi w:val="0"/>
        <w:jc w:val="center"/>
        <w:rPr>
          <w:b/>
        </w:rPr>
      </w:pPr>
      <w:r>
        <w:rPr>
          <w:b/>
        </w:rPr>
        <w:t>PURSUANT TO RULE 13d-1(k)</w:t>
      </w:r>
    </w:p>
    <w:p>
      <w:pPr>
        <w:pStyle w:val="TextBody"/>
        <w:bidi w:val="0"/>
        <w:spacing w:before="0" w:after="283"/>
        <w:jc w:val="left"/>
        <w:rPr/>
      </w:pPr>
      <w:r>
        <w:rPr/>
      </w:r>
    </w:p>
    <w:p>
      <w:pPr>
        <w:pStyle w:val="TextBody"/>
        <w:bidi w:val="0"/>
        <w:jc w:val="both"/>
        <w:rPr/>
      </w:pPr>
      <w:r>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unless a joint filing agreement is required under applicable law.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any other party making the filing, unless it knows or has reason to know that such information is inaccurate.</w:t>
      </w:r>
    </w:p>
    <w:p>
      <w:pPr>
        <w:pStyle w:val="TextBody"/>
        <w:bidi w:val="0"/>
        <w:spacing w:before="0" w:after="283"/>
        <w:jc w:val="left"/>
        <w:rPr/>
      </w:pPr>
      <w:r>
        <w:rPr/>
      </w:r>
    </w:p>
    <w:p>
      <w:pPr>
        <w:pStyle w:val="TextBody"/>
        <w:bidi w:val="0"/>
        <w:spacing w:before="0" w:after="283"/>
        <w:jc w:val="left"/>
        <w:rPr/>
      </w:pPr>
      <w:r>
        <w:rPr/>
        <w:t>DATED: 08/14/2026</w:t>
      </w:r>
    </w:p>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LLP</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Ltd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LLC</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Allyson Hanlon</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Allyson Hanlon</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Deputy General Counsel</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AG</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(DIFC) LTD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b/>
              </w:rPr>
            </w:pPr>
            <w:r>
              <w:rPr>
                <w:b/>
              </w:rPr>
              <w:t>LMR PARTNERS (IRELAND) LIMITED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By: /s/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Name: Shane Cullinane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Title: Chief Operating Officer</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HorizontalLine"/>
              <w:pBdr>
                <w:bottom w:val="double" w:sz="2" w:space="0" w:color="808080"/>
              </w:pBdr>
              <w:bidi w:val="0"/>
              <w:spacing w:before="0" w:after="283"/>
              <w:jc w:val="left"/>
              <w:rPr/>
            </w:pPr>
            <w:r>
              <w:rPr/>
            </w:r>
          </w:p>
          <w:p>
            <w:pPr>
              <w:pStyle w:val="TableContents"/>
              <w:bidi w:val="0"/>
              <w:spacing w:before="0" w:after="283"/>
              <w:jc w:val="left"/>
              <w:rPr/>
            </w:pPr>
            <w:r>
              <w:rPr>
                <w:rStyle w:val="StrongEmphasis"/>
              </w:rPr>
              <w:t>BEN LEVINE</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/s/ Ben Levine</w:t>
            </w:r>
          </w:p>
        </w:tc>
      </w:tr>
    </w:tbl>
    <w:tbl>
      <w:tblPr>
        <w:tblW w:w="5000" w:type="pct"/>
        <w:jc w:val="left"/>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HorizontalLine"/>
              <w:pBdr>
                <w:bottom w:val="double" w:sz="2" w:space="0" w:color="808080"/>
              </w:pBdr>
              <w:bidi w:val="0"/>
              <w:spacing w:before="0" w:after="283"/>
              <w:jc w:val="left"/>
              <w:rPr/>
            </w:pPr>
            <w:r>
              <w:rPr/>
            </w:r>
          </w:p>
          <w:p>
            <w:pPr>
              <w:pStyle w:val="TableContents"/>
              <w:bidi w:val="0"/>
              <w:spacing w:before="0" w:after="283"/>
              <w:jc w:val="left"/>
              <w:rPr/>
            </w:pPr>
            <w:r>
              <w:rPr>
                <w:rStyle w:val="StrongEmphasis"/>
              </w:rPr>
              <w:t>STEFAN RENOLD</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 </w:t>
            </w:r>
          </w:p>
        </w:tc>
      </w:tr>
      <w:tr>
        <w:trPr/>
        <w:tc>
          <w:tcPr>
            <w:tcW w:w="5102"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left"/>
              <w:rPr/>
            </w:pPr>
            <w:r>
              <w:rPr/>
              <w:t>/s/ Stefan Renold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2541</Words>
  <Characters>13097</Characters>
  <CharactersWithSpaces>15498</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