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0000FF"/>
        </w:rPr>
        <w:t>Spectral AI,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Hudson Bay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1,671,416.00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1,671,416.00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1,671,416.00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Reflects shares of Common Stock issuable upon exercise of warrants. As more fully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described in Item 4, these warrants are subject to a 4.99% beneficial ownership blocker and the percentage set forth on row (11) and the number of shares of Common Stock set forth on rows (6), (8) and (9) give effect to such blocker.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Sander Gerber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1,671,416.00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1,671,416.00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120"/>
          </w:cols>
          <w:pgMar w:left="320" w:top="111" w:right="45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1,671,416.00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 IN</w:t>
      </w:r>
    </w:p>
    <w:p>
      <w:pPr>
        <w:spacing w:after="0" w:line="24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Reflects shares of Common Stock issuable upon exercise of warrants. As more fully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described in Item 4, these warrants are subject to a 4.99% beneficial ownership blocker and the percentage set forth on row (11) and the number of shares of Common Stock set forth on rows (6), (8) and (9) give effect to such blocker.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Spectral AI,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2515 McKinney Avenue, Suite 1000, Dallas, Texas 75201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160" w:hanging="912"/>
        <w:spacing w:after="0" w:line="185" w:lineRule="auto"/>
        <w:tabs>
          <w:tab w:leader="none" w:pos="96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This statement is filed by Hudson Bay Capital Management LP (the "Investment Manager") and Mr. Sander Gerber ("Mr. Gerber"), who are collectively referred to herein as "Reporting Persons."</w:t>
      </w:r>
    </w:p>
    <w:p>
      <w:pPr>
        <w:spacing w:after="0" w:line="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The address of the business office of each of the Reporting Persons is 290 Harbor Dr., Stamford, CT 06902.</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The Investment Manager is a Delaware limited partnership. Mr. Gerber is a United States citizen.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$0.0001 par value</w:t>
      </w:r>
    </w:p>
    <w:p>
      <w:pPr>
        <w:ind w:left="960" w:hanging="912"/>
        <w:spacing w:after="0" w:line="180" w:lineRule="auto"/>
        <w:tabs>
          <w:tab w:leader="none" w:pos="960" w:val="left"/>
        </w:tabs>
        <w:numPr>
          <w:ilvl w:val="0"/>
          <w:numId w:val="8"/>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20" w:hanging="912"/>
        <w:spacing w:after="0" w:line="185" w:lineRule="auto"/>
        <w:tabs>
          <w:tab w:leader="none" w:pos="960" w:val="left"/>
        </w:tabs>
        <w:numPr>
          <w:ilvl w:val="0"/>
          <w:numId w:val="9"/>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ectPr>
          <w:pgSz w:w="11900" w:h="16838" w:orient="portrait"/>
          <w:cols w:equalWidth="0" w:num="1">
            <w:col w:w="11120"/>
          </w:cols>
          <w:pgMar w:left="320" w:top="111" w:right="459" w:bottom="0" w:gutter="0" w:footer="0" w:header="0"/>
        </w:sectPr>
      </w:pPr>
    </w:p>
    <w:bookmarkStart w:id="3" w:name="page4"/>
    <w:bookmarkEnd w:id="3"/>
    <w:p>
      <w:pPr>
        <w:spacing w:after="0" w:line="78" w:lineRule="exact"/>
        <w:rPr>
          <w:sz w:val="20"/>
          <w:szCs w:val="20"/>
          <w:color w:val="auto"/>
        </w:rPr>
      </w:pPr>
    </w:p>
    <w:p>
      <w:pPr>
        <w:ind w:left="920" w:right="20"/>
        <w:spacing w:after="0" w:line="244" w:lineRule="auto"/>
        <w:rPr>
          <w:sz w:val="20"/>
          <w:szCs w:val="20"/>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 incorporated herein by reference. The percentage set forth in this Schedule 13G is calculated based upon an aggregate of 31,823,895 shares of common stock, $0.0001 par value (the "Common Stock") of Spectral AI, Inc. (the "Company") outstanding as of March 23, 2006, as reported in the Company's Annual Report on Form 10-K for the fiscal year ended December 31, 2025 filed with the Securities and Exchange Commission on March 25, 2026, and assumes the exercise of the warrants held by Hudson Bay Master Fund Ltd. (the "Securities"), subject to the 4.99% Blocker (as defined below). Pursuant to the terms of the Securities, the Reporting Persons cannot exercise such Securities if the Reporting Persons would beneficially own, after such exercise, more than 4.99% of the outstanding shares of Common Stock (the "4.99% Blocker"). The percentage set forth on row (11) and the number of shares of Common Stock set forth on rows (6), (8) and (9) of the cover page for each Reporting Person give effect to the 4.99% Blocker. The Investment Manager serves as the investment manager to Hudson Bay Master Fund Ltd., in whose name the securities reported herein are held. As such, the Investment Manager may be deemed to be the beneficial owner of all shares of Common Stock issuable upon exercise of the Securities, subject to the 4.99% Blocker, held by Hudson Bay Master Fund Ltd. Mr. Gerber serves as the managing member of Hudson Bay Capital GP LLC, which is the general partner of the Investment Manager. Mr. Gerber disclaims beneficial ownership of these securities.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4.99% %</w:t>
      </w:r>
    </w:p>
    <w:p>
      <w:pPr>
        <w:spacing w:after="0" w:line="20"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both"/>
        <w:ind w:left="920"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916"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916" w:orient="portrait"/>
          <w:cols w:equalWidth="0" w:num="2">
            <w:col w:w="720" w:space="200"/>
            <w:col w:w="10220"/>
          </w:cols>
          <w:pgMar w:left="360" w:top="112"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916" w:orient="portrait"/>
          <w:cols w:equalWidth="0" w:num="1">
            <w:col w:w="11140"/>
          </w:cols>
          <w:pgMar w:left="360" w:top="112" w:right="39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Hudson Bay Capital Management LP</w:t>
      </w:r>
    </w:p>
    <w:p>
      <w:pPr>
        <w:spacing w:after="0" w:line="152" w:lineRule="exact"/>
        <w:rPr>
          <w:sz w:val="20"/>
          <w:szCs w:val="20"/>
          <w:color w:val="auto"/>
        </w:rPr>
      </w:pPr>
    </w:p>
    <w:p>
      <w:pPr>
        <w:ind w:left="4280"/>
        <w:spacing w:after="0"/>
        <w:tabs>
          <w:tab w:leader="none" w:pos="5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Sander Gerber</w:t>
      </w:r>
    </w:p>
    <w:p>
      <w:pPr>
        <w:spacing w:after="0" w:line="4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Name/Title: Sander Gerber, Authorized Signatory</w:t>
      </w:r>
    </w:p>
    <w:p>
      <w:pPr>
        <w:spacing w:after="0" w:line="44" w:lineRule="exact"/>
        <w:rPr>
          <w:sz w:val="20"/>
          <w:szCs w:val="20"/>
          <w:color w:val="auto"/>
        </w:rPr>
      </w:pPr>
    </w:p>
    <w:p>
      <w:pPr>
        <w:ind w:left="4280"/>
        <w:spacing w:after="0"/>
        <w:tabs>
          <w:tab w:leader="none" w:pos="5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Sander Gerber</w:t>
      </w:r>
    </w:p>
    <w:p>
      <w:pPr>
        <w:spacing w:after="0" w:line="152" w:lineRule="exact"/>
        <w:rPr>
          <w:sz w:val="20"/>
          <w:szCs w:val="20"/>
          <w:color w:val="auto"/>
        </w:rPr>
      </w:pPr>
    </w:p>
    <w:p>
      <w:pPr>
        <w:ind w:left="3460"/>
        <w:spacing w:after="0"/>
        <w:tabs>
          <w:tab w:leader="none" w:pos="4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Sander Gerber</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Name/Title: Sander Gerber, individually</w:t>
      </w:r>
    </w:p>
    <w:p>
      <w:pPr>
        <w:spacing w:after="0" w:line="44" w:lineRule="exact"/>
        <w:rPr>
          <w:sz w:val="20"/>
          <w:szCs w:val="20"/>
          <w:color w:val="auto"/>
        </w:rPr>
      </w:pPr>
    </w:p>
    <w:p>
      <w:pPr>
        <w:ind w:left="3460"/>
        <w:spacing w:after="0"/>
        <w:tabs>
          <w:tab w:leader="none" w:pos="4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sectPr>
      <w:pgSz w:w="11900" w:h="16838" w:orient="portrait"/>
      <w:cols w:equalWidth="0" w:num="1">
        <w:col w:w="10920"/>
      </w:cols>
      <w:pgMar w:left="580" w:top="42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5"/>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3"/>
      <w:numFmt w:val="bullet"/>
      <w:start w:val="1"/>
    </w:lvl>
  </w:abstractNum>
  <w:abstractNum w:abstractNumId="5">
    <w:nsid w:val="5BD062C2"/>
    <w:multiLevelType w:val="hybridMultilevel"/>
    <w:lvl w:ilvl="0">
      <w:lvlJc w:val="left"/>
      <w:lvlText w:val="9"/>
      <w:numFmt w:val="bullet"/>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5"/>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2026-05-08T14:16:13Z</dcterms:created>
  <dcterms:modified xsi:type="dcterms:W3CDTF">2026-05-08T14:16:13Z</dcterms:modified>
</cp:coreProperties>
</file>