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200660</wp:posOffset>
            </wp:positionH>
            <wp:positionV relativeFrom="page">
              <wp:posOffset>149860</wp:posOffset>
            </wp:positionV>
            <wp:extent cx="7148195" cy="152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8195" cy="15240"/>
                    </a:xfrm>
                    <a:prstGeom prst="rect">
                      <a:avLst/>
                    </a:prstGeom>
                    <a:noFill/>
                  </pic:spPr>
                </pic:pic>
              </a:graphicData>
            </a:graphic>
          </wp:anchor>
        </w:drawing>
        <w:drawing>
          <wp:anchor simplePos="0" relativeHeight="251657728" behindDoc="1" locked="0" layoutInCell="0" allowOverlap="1">
            <wp:simplePos x="0" y="0"/>
            <wp:positionH relativeFrom="page">
              <wp:posOffset>200660</wp:posOffset>
            </wp:positionH>
            <wp:positionV relativeFrom="page">
              <wp:posOffset>179705</wp:posOffset>
            </wp:positionV>
            <wp:extent cx="714819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8195" cy="7620"/>
                    </a:xfrm>
                    <a:prstGeom prst="rect">
                      <a:avLst/>
                    </a:prstGeom>
                    <a:noFill/>
                  </pic:spPr>
                </pic:pic>
              </a:graphicData>
            </a:graphic>
          </wp:anchor>
        </w:drawing>
        <w:t>UNITED STATES</w:t>
      </w:r>
    </w:p>
    <w:p>
      <w:pPr>
        <w:spacing w:after="0" w:line="26"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6"/>
          <w:szCs w:val="16"/>
          <w:b w:val="1"/>
          <w:bCs w:val="1"/>
          <w:color w:val="auto"/>
        </w:rPr>
        <w:t>SECURITIES AND EXCHANGE COMMISSION</w:t>
      </w:r>
    </w:p>
    <w:p>
      <w:pPr>
        <w:spacing w:after="0" w:line="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180" w:lineRule="exact"/>
        <w:rPr>
          <w:sz w:val="24"/>
          <w:szCs w:val="24"/>
          <w:color w:val="auto"/>
        </w:rPr>
      </w:pPr>
    </w:p>
    <w:tbl>
      <w:tblPr>
        <w:tblLayout w:type="fixed"/>
        <w:tblInd w:w="4" w:type="dxa"/>
        <w:tblCellMar>
          <w:top w:w="0" w:type="dxa"/>
          <w:left w:w="0" w:type="dxa"/>
          <w:bottom w:w="0" w:type="dxa"/>
          <w:right w:w="0" w:type="dxa"/>
        </w:tblCellMar>
      </w:tblPr>
      <w:tr>
        <w:trPr>
          <w:trHeight w:val="210"/>
        </w:trPr>
        <w:tc>
          <w:tcPr>
            <w:tcW w:w="3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120" w:type="dxa"/>
            <w:vAlign w:val="bottom"/>
            <w:gridSpan w:val="5"/>
          </w:tcPr>
          <w:p>
            <w:pPr>
              <w:jc w:val="center"/>
              <w:ind w:right="540"/>
              <w:spacing w:after="0"/>
              <w:rPr>
                <w:sz w:val="20"/>
                <w:szCs w:val="20"/>
                <w:color w:val="auto"/>
              </w:rPr>
            </w:pPr>
            <w:r>
              <w:rPr>
                <w:rFonts w:ascii="Times New Roman" w:cs="Times New Roman" w:eastAsia="Times New Roman" w:hAnsi="Times New Roman"/>
                <w:sz w:val="16"/>
                <w:szCs w:val="16"/>
                <w:b w:val="1"/>
                <w:bCs w:val="1"/>
                <w:color w:val="auto"/>
                <w:w w:val="99"/>
              </w:rPr>
              <w:t>FORM 8-K</w:t>
            </w:r>
          </w:p>
        </w:tc>
        <w:tc>
          <w:tcPr>
            <w:tcW w:w="3300" w:type="dxa"/>
            <w:vAlign w:val="bottom"/>
          </w:tcPr>
          <w:p>
            <w:pPr>
              <w:spacing w:after="0"/>
              <w:rPr>
                <w:sz w:val="18"/>
                <w:szCs w:val="18"/>
                <w:color w:val="auto"/>
              </w:rPr>
            </w:pPr>
          </w:p>
        </w:tc>
      </w:tr>
      <w:tr>
        <w:trPr>
          <w:trHeight w:val="382"/>
        </w:trPr>
        <w:tc>
          <w:tcPr>
            <w:tcW w:w="3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120" w:type="dxa"/>
            <w:vAlign w:val="bottom"/>
            <w:gridSpan w:val="5"/>
          </w:tcPr>
          <w:p>
            <w:pPr>
              <w:jc w:val="center"/>
              <w:ind w:right="560"/>
              <w:spacing w:after="0"/>
              <w:rPr>
                <w:sz w:val="20"/>
                <w:szCs w:val="20"/>
                <w:color w:val="auto"/>
              </w:rPr>
            </w:pPr>
            <w:r>
              <w:rPr>
                <w:rFonts w:ascii="Times New Roman" w:cs="Times New Roman" w:eastAsia="Times New Roman" w:hAnsi="Times New Roman"/>
                <w:sz w:val="16"/>
                <w:szCs w:val="16"/>
                <w:b w:val="1"/>
                <w:bCs w:val="1"/>
                <w:color w:val="auto"/>
                <w:w w:val="98"/>
              </w:rPr>
              <w:t>CURRENT REPORT</w:t>
            </w:r>
          </w:p>
        </w:tc>
        <w:tc>
          <w:tcPr>
            <w:tcW w:w="3300" w:type="dxa"/>
            <w:vAlign w:val="bottom"/>
          </w:tcPr>
          <w:p>
            <w:pPr>
              <w:spacing w:after="0"/>
              <w:rPr>
                <w:sz w:val="24"/>
                <w:szCs w:val="24"/>
                <w:color w:val="auto"/>
              </w:rPr>
            </w:pPr>
          </w:p>
        </w:tc>
      </w:tr>
      <w:tr>
        <w:trPr>
          <w:trHeight w:val="364"/>
        </w:trPr>
        <w:tc>
          <w:tcPr>
            <w:tcW w:w="3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120" w:type="dxa"/>
            <w:vAlign w:val="bottom"/>
            <w:gridSpan w:val="5"/>
          </w:tcPr>
          <w:p>
            <w:pPr>
              <w:jc w:val="center"/>
              <w:ind w:right="540"/>
              <w:spacing w:after="0"/>
              <w:rPr>
                <w:sz w:val="20"/>
                <w:szCs w:val="20"/>
                <w:color w:val="auto"/>
              </w:rPr>
            </w:pPr>
            <w:r>
              <w:rPr>
                <w:rFonts w:ascii="Times New Roman" w:cs="Times New Roman" w:eastAsia="Times New Roman" w:hAnsi="Times New Roman"/>
                <w:sz w:val="16"/>
                <w:szCs w:val="16"/>
                <w:b w:val="1"/>
                <w:bCs w:val="1"/>
                <w:color w:val="auto"/>
                <w:w w:val="99"/>
              </w:rPr>
              <w:t>PURSUANT TO SECTION 13 OR 15(D) OF THE</w:t>
            </w:r>
          </w:p>
        </w:tc>
        <w:tc>
          <w:tcPr>
            <w:tcW w:w="3300" w:type="dxa"/>
            <w:vAlign w:val="bottom"/>
          </w:tcPr>
          <w:p>
            <w:pPr>
              <w:spacing w:after="0"/>
              <w:rPr>
                <w:sz w:val="24"/>
                <w:szCs w:val="24"/>
                <w:color w:val="auto"/>
              </w:rPr>
            </w:pPr>
          </w:p>
        </w:tc>
      </w:tr>
      <w:tr>
        <w:trPr>
          <w:trHeight w:val="210"/>
        </w:trPr>
        <w:tc>
          <w:tcPr>
            <w:tcW w:w="3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120" w:type="dxa"/>
            <w:vAlign w:val="bottom"/>
            <w:gridSpan w:val="5"/>
          </w:tcPr>
          <w:p>
            <w:pPr>
              <w:jc w:val="center"/>
              <w:ind w:right="560"/>
              <w:spacing w:after="0"/>
              <w:rPr>
                <w:sz w:val="20"/>
                <w:szCs w:val="20"/>
                <w:color w:val="auto"/>
              </w:rPr>
            </w:pPr>
            <w:r>
              <w:rPr>
                <w:rFonts w:ascii="Times New Roman" w:cs="Times New Roman" w:eastAsia="Times New Roman" w:hAnsi="Times New Roman"/>
                <w:sz w:val="16"/>
                <w:szCs w:val="16"/>
                <w:b w:val="1"/>
                <w:bCs w:val="1"/>
                <w:color w:val="auto"/>
                <w:w w:val="99"/>
              </w:rPr>
              <w:t>SECURITIES EXCHANGE ACT OF 1934</w:t>
            </w:r>
          </w:p>
        </w:tc>
        <w:tc>
          <w:tcPr>
            <w:tcW w:w="3300" w:type="dxa"/>
            <w:vAlign w:val="bottom"/>
          </w:tcPr>
          <w:p>
            <w:pPr>
              <w:spacing w:after="0"/>
              <w:rPr>
                <w:sz w:val="18"/>
                <w:szCs w:val="18"/>
                <w:color w:val="auto"/>
              </w:rPr>
            </w:pPr>
          </w:p>
        </w:tc>
      </w:tr>
      <w:tr>
        <w:trPr>
          <w:trHeight w:val="382"/>
        </w:trPr>
        <w:tc>
          <w:tcPr>
            <w:tcW w:w="3340" w:type="dxa"/>
            <w:vAlign w:val="bottom"/>
          </w:tcPr>
          <w:p>
            <w:pPr>
              <w:spacing w:after="0"/>
              <w:rPr>
                <w:sz w:val="24"/>
                <w:szCs w:val="24"/>
                <w:color w:val="auto"/>
              </w:rPr>
            </w:pPr>
          </w:p>
        </w:tc>
        <w:tc>
          <w:tcPr>
            <w:tcW w:w="4620" w:type="dxa"/>
            <w:vAlign w:val="bottom"/>
            <w:gridSpan w:val="7"/>
          </w:tcPr>
          <w:p>
            <w:pPr>
              <w:jc w:val="center"/>
              <w:ind w:right="60"/>
              <w:spacing w:after="0"/>
              <w:rPr>
                <w:sz w:val="20"/>
                <w:szCs w:val="20"/>
                <w:color w:val="auto"/>
              </w:rPr>
            </w:pPr>
            <w:r>
              <w:rPr>
                <w:rFonts w:ascii="Times New Roman" w:cs="Times New Roman" w:eastAsia="Times New Roman" w:hAnsi="Times New Roman"/>
                <w:sz w:val="16"/>
                <w:szCs w:val="16"/>
                <w:color w:val="auto"/>
                <w:w w:val="99"/>
              </w:rPr>
              <w:t>Date of Report (Date of earliest event reported): February 13, 2024</w:t>
            </w:r>
          </w:p>
        </w:tc>
        <w:tc>
          <w:tcPr>
            <w:tcW w:w="3300" w:type="dxa"/>
            <w:vAlign w:val="bottom"/>
          </w:tcPr>
          <w:p>
            <w:pPr>
              <w:spacing w:after="0"/>
              <w:rPr>
                <w:sz w:val="24"/>
                <w:szCs w:val="24"/>
                <w:color w:val="auto"/>
              </w:rPr>
            </w:pPr>
          </w:p>
        </w:tc>
      </w:tr>
      <w:tr>
        <w:trPr>
          <w:trHeight w:val="366"/>
        </w:trPr>
        <w:tc>
          <w:tcPr>
            <w:tcW w:w="3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120" w:type="dxa"/>
            <w:vAlign w:val="bottom"/>
            <w:gridSpan w:val="5"/>
          </w:tcPr>
          <w:p>
            <w:pPr>
              <w:jc w:val="center"/>
              <w:ind w:right="580"/>
              <w:spacing w:after="0"/>
              <w:rPr>
                <w:sz w:val="20"/>
                <w:szCs w:val="20"/>
                <w:color w:val="auto"/>
              </w:rPr>
            </w:pPr>
            <w:r>
              <w:rPr>
                <w:rFonts w:ascii="Times New Roman" w:cs="Times New Roman" w:eastAsia="Times New Roman" w:hAnsi="Times New Roman"/>
                <w:sz w:val="16"/>
                <w:szCs w:val="16"/>
                <w:b w:val="1"/>
                <w:bCs w:val="1"/>
                <w:color w:val="auto"/>
                <w:w w:val="98"/>
              </w:rPr>
              <w:t>SPECTRAL AI, INC.</w:t>
            </w:r>
          </w:p>
        </w:tc>
        <w:tc>
          <w:tcPr>
            <w:tcW w:w="3300" w:type="dxa"/>
            <w:vAlign w:val="bottom"/>
          </w:tcPr>
          <w:p>
            <w:pPr>
              <w:spacing w:after="0"/>
              <w:rPr>
                <w:sz w:val="24"/>
                <w:szCs w:val="24"/>
                <w:color w:val="auto"/>
              </w:rPr>
            </w:pPr>
          </w:p>
        </w:tc>
      </w:tr>
      <w:tr>
        <w:trPr>
          <w:trHeight w:val="208"/>
        </w:trPr>
        <w:tc>
          <w:tcPr>
            <w:tcW w:w="3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120" w:type="dxa"/>
            <w:vAlign w:val="bottom"/>
            <w:gridSpan w:val="5"/>
          </w:tcPr>
          <w:p>
            <w:pPr>
              <w:jc w:val="center"/>
              <w:ind w:right="560"/>
              <w:spacing w:after="0"/>
              <w:rPr>
                <w:sz w:val="20"/>
                <w:szCs w:val="20"/>
                <w:color w:val="auto"/>
              </w:rPr>
            </w:pPr>
            <w:r>
              <w:rPr>
                <w:rFonts w:ascii="Times New Roman" w:cs="Times New Roman" w:eastAsia="Times New Roman" w:hAnsi="Times New Roman"/>
                <w:sz w:val="16"/>
                <w:szCs w:val="16"/>
                <w:color w:val="auto"/>
                <w:w w:val="99"/>
              </w:rPr>
              <w:t>(Exact name of registrant as specified in its charter)</w:t>
            </w:r>
          </w:p>
        </w:tc>
        <w:tc>
          <w:tcPr>
            <w:tcW w:w="3300" w:type="dxa"/>
            <w:vAlign w:val="bottom"/>
          </w:tcPr>
          <w:p>
            <w:pPr>
              <w:spacing w:after="0"/>
              <w:rPr>
                <w:sz w:val="18"/>
                <w:szCs w:val="18"/>
                <w:color w:val="auto"/>
              </w:rPr>
            </w:pPr>
          </w:p>
        </w:tc>
      </w:tr>
      <w:tr>
        <w:trPr>
          <w:trHeight w:val="386"/>
        </w:trPr>
        <w:tc>
          <w:tcPr>
            <w:tcW w:w="3340" w:type="dxa"/>
            <w:vAlign w:val="bottom"/>
          </w:tcPr>
          <w:p>
            <w:pPr>
              <w:jc w:val="center"/>
              <w:ind w:left="180"/>
              <w:spacing w:after="0"/>
              <w:rPr>
                <w:sz w:val="20"/>
                <w:szCs w:val="20"/>
                <w:color w:val="auto"/>
              </w:rPr>
            </w:pPr>
            <w:r>
              <w:rPr>
                <w:rFonts w:ascii="Times New Roman" w:cs="Times New Roman" w:eastAsia="Times New Roman" w:hAnsi="Times New Roman"/>
                <w:sz w:val="16"/>
                <w:szCs w:val="16"/>
                <w:b w:val="1"/>
                <w:bCs w:val="1"/>
                <w:color w:val="auto"/>
                <w:w w:val="98"/>
              </w:rPr>
              <w:t>Delaware</w:t>
            </w:r>
          </w:p>
        </w:tc>
        <w:tc>
          <w:tcPr>
            <w:tcW w:w="4100" w:type="dxa"/>
            <w:vAlign w:val="bottom"/>
            <w:gridSpan w:val="5"/>
          </w:tcPr>
          <w:p>
            <w:pPr>
              <w:jc w:val="center"/>
              <w:ind w:left="420"/>
              <w:spacing w:after="0"/>
              <w:rPr>
                <w:sz w:val="20"/>
                <w:szCs w:val="20"/>
                <w:color w:val="auto"/>
              </w:rPr>
            </w:pPr>
            <w:r>
              <w:rPr>
                <w:rFonts w:ascii="Times New Roman" w:cs="Times New Roman" w:eastAsia="Times New Roman" w:hAnsi="Times New Roman"/>
                <w:sz w:val="16"/>
                <w:szCs w:val="16"/>
                <w:b w:val="1"/>
                <w:bCs w:val="1"/>
                <w:color w:val="auto"/>
                <w:w w:val="98"/>
              </w:rPr>
              <w:t>001-40058</w:t>
            </w: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300" w:type="dxa"/>
            <w:vAlign w:val="bottom"/>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85-3987148</w:t>
            </w:r>
          </w:p>
        </w:tc>
      </w:tr>
      <w:tr>
        <w:trPr>
          <w:trHeight w:val="175"/>
        </w:trPr>
        <w:tc>
          <w:tcPr>
            <w:tcW w:w="3340" w:type="dxa"/>
            <w:vAlign w:val="bottom"/>
            <w:tcBorders>
              <w:top w:val="single" w:sz="8" w:color="auto"/>
            </w:tcBorders>
          </w:tcPr>
          <w:p>
            <w:pPr>
              <w:jc w:val="center"/>
              <w:ind w:left="180"/>
              <w:spacing w:after="0" w:line="175" w:lineRule="exact"/>
              <w:rPr>
                <w:sz w:val="20"/>
                <w:szCs w:val="20"/>
                <w:color w:val="auto"/>
              </w:rPr>
            </w:pPr>
            <w:r>
              <w:rPr>
                <w:rFonts w:ascii="Times New Roman" w:cs="Times New Roman" w:eastAsia="Times New Roman" w:hAnsi="Times New Roman"/>
                <w:sz w:val="16"/>
                <w:szCs w:val="16"/>
                <w:color w:val="auto"/>
                <w:w w:val="99"/>
              </w:rPr>
              <w:t>(State or other jurisdiction</w:t>
            </w:r>
          </w:p>
        </w:tc>
        <w:tc>
          <w:tcPr>
            <w:tcW w:w="26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3600" w:type="dxa"/>
            <w:vAlign w:val="bottom"/>
            <w:tcBorders>
              <w:top w:val="single" w:sz="8" w:color="auto"/>
            </w:tcBorders>
            <w:gridSpan w:val="3"/>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(Commission File Number)</w:t>
            </w:r>
          </w:p>
        </w:tc>
        <w:tc>
          <w:tcPr>
            <w:tcW w:w="22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3300" w:type="dxa"/>
            <w:vAlign w:val="bottom"/>
            <w:tcBorders>
              <w:top w:val="single" w:sz="8" w:color="auto"/>
            </w:tcBorders>
          </w:tcPr>
          <w:p>
            <w:pPr>
              <w:jc w:val="center"/>
              <w:ind w:right="240"/>
              <w:spacing w:after="0" w:line="175" w:lineRule="exact"/>
              <w:rPr>
                <w:sz w:val="20"/>
                <w:szCs w:val="20"/>
                <w:color w:val="auto"/>
              </w:rPr>
            </w:pPr>
            <w:r>
              <w:rPr>
                <w:rFonts w:ascii="Times New Roman" w:cs="Times New Roman" w:eastAsia="Times New Roman" w:hAnsi="Times New Roman"/>
                <w:sz w:val="16"/>
                <w:szCs w:val="16"/>
                <w:color w:val="auto"/>
              </w:rPr>
              <w:t>(I.R.S. Employer</w:t>
            </w:r>
          </w:p>
        </w:tc>
      </w:tr>
      <w:tr>
        <w:trPr>
          <w:trHeight w:val="208"/>
        </w:trPr>
        <w:tc>
          <w:tcPr>
            <w:tcW w:w="3340" w:type="dxa"/>
            <w:vAlign w:val="bottom"/>
          </w:tcPr>
          <w:p>
            <w:pPr>
              <w:jc w:val="center"/>
              <w:ind w:left="180"/>
              <w:spacing w:after="0"/>
              <w:rPr>
                <w:sz w:val="20"/>
                <w:szCs w:val="20"/>
                <w:color w:val="auto"/>
              </w:rPr>
            </w:pPr>
            <w:r>
              <w:rPr>
                <w:rFonts w:ascii="Times New Roman" w:cs="Times New Roman" w:eastAsia="Times New Roman" w:hAnsi="Times New Roman"/>
                <w:sz w:val="16"/>
                <w:szCs w:val="16"/>
                <w:color w:val="auto"/>
                <w:w w:val="99"/>
              </w:rPr>
              <w:t>of incorporation)</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300" w:type="dxa"/>
            <w:vAlign w:val="bottom"/>
          </w:tcPr>
          <w:p>
            <w:pPr>
              <w:jc w:val="center"/>
              <w:ind w:right="240"/>
              <w:spacing w:after="0"/>
              <w:rPr>
                <w:sz w:val="20"/>
                <w:szCs w:val="20"/>
                <w:color w:val="auto"/>
              </w:rPr>
            </w:pPr>
            <w:r>
              <w:rPr>
                <w:rFonts w:ascii="Times New Roman" w:cs="Times New Roman" w:eastAsia="Times New Roman" w:hAnsi="Times New Roman"/>
                <w:sz w:val="16"/>
                <w:szCs w:val="16"/>
                <w:color w:val="auto"/>
                <w:w w:val="99"/>
              </w:rPr>
              <w:t>Identification No.)</w:t>
            </w:r>
          </w:p>
        </w:tc>
      </w:tr>
      <w:tr>
        <w:trPr>
          <w:trHeight w:val="366"/>
        </w:trPr>
        <w:tc>
          <w:tcPr>
            <w:tcW w:w="7960" w:type="dxa"/>
            <w:vAlign w:val="bottom"/>
            <w:gridSpan w:val="8"/>
          </w:tcPr>
          <w:p>
            <w:pPr>
              <w:jc w:val="center"/>
              <w:ind w:right="2440"/>
              <w:spacing w:after="0"/>
              <w:rPr>
                <w:sz w:val="20"/>
                <w:szCs w:val="20"/>
                <w:color w:val="auto"/>
              </w:rPr>
            </w:pPr>
            <w:r>
              <w:rPr>
                <w:rFonts w:ascii="Times New Roman" w:cs="Times New Roman" w:eastAsia="Times New Roman" w:hAnsi="Times New Roman"/>
                <w:sz w:val="16"/>
                <w:szCs w:val="16"/>
                <w:color w:val="auto"/>
                <w:w w:val="98"/>
              </w:rPr>
              <w:t>2515 McKinney Avenue, Suite 1000</w:t>
            </w:r>
          </w:p>
        </w:tc>
        <w:tc>
          <w:tcPr>
            <w:tcW w:w="3300" w:type="dxa"/>
            <w:vAlign w:val="bottom"/>
          </w:tcPr>
          <w:p>
            <w:pPr>
              <w:spacing w:after="0"/>
              <w:rPr>
                <w:sz w:val="24"/>
                <w:szCs w:val="24"/>
                <w:color w:val="auto"/>
              </w:rPr>
            </w:pPr>
          </w:p>
        </w:tc>
      </w:tr>
      <w:tr>
        <w:trPr>
          <w:trHeight w:val="212"/>
        </w:trPr>
        <w:tc>
          <w:tcPr>
            <w:tcW w:w="3340" w:type="dxa"/>
            <w:vAlign w:val="bottom"/>
            <w:tcBorders>
              <w:bottom w:val="single" w:sz="8" w:color="auto"/>
            </w:tcBorders>
          </w:tcPr>
          <w:p>
            <w:pPr>
              <w:jc w:val="center"/>
              <w:ind w:left="2080"/>
              <w:spacing w:after="0"/>
              <w:rPr>
                <w:sz w:val="20"/>
                <w:szCs w:val="20"/>
                <w:color w:val="auto"/>
              </w:rPr>
            </w:pPr>
            <w:r>
              <w:rPr>
                <w:rFonts w:ascii="Times New Roman" w:cs="Times New Roman" w:eastAsia="Times New Roman" w:hAnsi="Times New Roman"/>
                <w:sz w:val="16"/>
                <w:szCs w:val="16"/>
                <w:color w:val="auto"/>
                <w:w w:val="98"/>
              </w:rPr>
              <w:t>Dallas, Texas</w:t>
            </w:r>
          </w:p>
        </w:tc>
        <w:tc>
          <w:tcPr>
            <w:tcW w:w="2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3300" w:type="dxa"/>
            <w:vAlign w:val="bottom"/>
            <w:tcBorders>
              <w:bottom w:val="single" w:sz="8" w:color="auto"/>
            </w:tcBorders>
          </w:tcPr>
          <w:p>
            <w:pPr>
              <w:jc w:val="right"/>
              <w:ind w:right="2480"/>
              <w:spacing w:after="0"/>
              <w:rPr>
                <w:sz w:val="20"/>
                <w:szCs w:val="20"/>
                <w:color w:val="auto"/>
              </w:rPr>
            </w:pPr>
            <w:r>
              <w:rPr>
                <w:rFonts w:ascii="Times New Roman" w:cs="Times New Roman" w:eastAsia="Times New Roman" w:hAnsi="Times New Roman"/>
                <w:sz w:val="16"/>
                <w:szCs w:val="16"/>
                <w:color w:val="auto"/>
              </w:rPr>
              <w:t>75201</w:t>
            </w:r>
          </w:p>
        </w:tc>
      </w:tr>
      <w:tr>
        <w:trPr>
          <w:trHeight w:val="208"/>
        </w:trPr>
        <w:tc>
          <w:tcPr>
            <w:tcW w:w="5520" w:type="dxa"/>
            <w:vAlign w:val="bottom"/>
            <w:gridSpan w:val="4"/>
          </w:tcPr>
          <w:p>
            <w:pPr>
              <w:jc w:val="center"/>
              <w:spacing w:after="0"/>
              <w:rPr>
                <w:sz w:val="20"/>
                <w:szCs w:val="20"/>
                <w:color w:val="auto"/>
              </w:rPr>
            </w:pPr>
            <w:r>
              <w:rPr>
                <w:rFonts w:ascii="Times New Roman" w:cs="Times New Roman" w:eastAsia="Times New Roman" w:hAnsi="Times New Roman"/>
                <w:sz w:val="16"/>
                <w:szCs w:val="16"/>
                <w:color w:val="auto"/>
                <w:w w:val="99"/>
              </w:rPr>
              <w:t>(Address of principal executive offices)</w:t>
            </w:r>
          </w:p>
        </w:tc>
        <w:tc>
          <w:tcPr>
            <w:tcW w:w="220" w:type="dxa"/>
            <w:vAlign w:val="bottom"/>
          </w:tcPr>
          <w:p>
            <w:pPr>
              <w:spacing w:after="0"/>
              <w:rPr>
                <w:sz w:val="18"/>
                <w:szCs w:val="18"/>
                <w:color w:val="auto"/>
              </w:rPr>
            </w:pPr>
          </w:p>
        </w:tc>
        <w:tc>
          <w:tcPr>
            <w:tcW w:w="2220" w:type="dxa"/>
            <w:vAlign w:val="bottom"/>
            <w:gridSpan w:val="3"/>
          </w:tcPr>
          <w:p>
            <w:pPr>
              <w:spacing w:after="0"/>
              <w:rPr>
                <w:sz w:val="18"/>
                <w:szCs w:val="18"/>
                <w:color w:val="auto"/>
              </w:rPr>
            </w:pPr>
          </w:p>
        </w:tc>
        <w:tc>
          <w:tcPr>
            <w:tcW w:w="3300" w:type="dxa"/>
            <w:vAlign w:val="bottom"/>
          </w:tcPr>
          <w:p>
            <w:pPr>
              <w:jc w:val="center"/>
              <w:ind w:right="2160"/>
              <w:spacing w:after="0"/>
              <w:rPr>
                <w:sz w:val="20"/>
                <w:szCs w:val="20"/>
                <w:color w:val="auto"/>
              </w:rPr>
            </w:pPr>
            <w:r>
              <w:rPr>
                <w:rFonts w:ascii="Times New Roman" w:cs="Times New Roman" w:eastAsia="Times New Roman" w:hAnsi="Times New Roman"/>
                <w:sz w:val="16"/>
                <w:szCs w:val="16"/>
                <w:color w:val="auto"/>
                <w:w w:val="98"/>
              </w:rPr>
              <w:t>(Zip Code)</w:t>
            </w:r>
          </w:p>
        </w:tc>
      </w:tr>
      <w:tr>
        <w:trPr>
          <w:trHeight w:val="349"/>
        </w:trPr>
        <w:tc>
          <w:tcPr>
            <w:tcW w:w="3340" w:type="dxa"/>
            <w:vAlign w:val="bottom"/>
          </w:tcPr>
          <w:p>
            <w:pPr>
              <w:spacing w:after="0"/>
              <w:rPr>
                <w:sz w:val="24"/>
                <w:szCs w:val="24"/>
                <w:color w:val="auto"/>
              </w:rPr>
            </w:pPr>
          </w:p>
        </w:tc>
        <w:tc>
          <w:tcPr>
            <w:tcW w:w="4100" w:type="dxa"/>
            <w:vAlign w:val="bottom"/>
            <w:gridSpan w:val="5"/>
          </w:tcPr>
          <w:p>
            <w:pPr>
              <w:jc w:val="center"/>
              <w:ind w:left="380"/>
              <w:spacing w:after="0"/>
              <w:rPr>
                <w:sz w:val="20"/>
                <w:szCs w:val="20"/>
                <w:color w:val="auto"/>
              </w:rPr>
            </w:pPr>
            <w:r>
              <w:rPr>
                <w:rFonts w:ascii="Times New Roman" w:cs="Times New Roman" w:eastAsia="Times New Roman" w:hAnsi="Times New Roman"/>
                <w:sz w:val="16"/>
                <w:szCs w:val="16"/>
                <w:color w:val="auto"/>
                <w:w w:val="99"/>
              </w:rPr>
              <w:t>(972) 499-4934</w:t>
            </w: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300" w:type="dxa"/>
            <w:vAlign w:val="bottom"/>
          </w:tcPr>
          <w:p>
            <w:pPr>
              <w:spacing w:after="0"/>
              <w:rPr>
                <w:sz w:val="24"/>
                <w:szCs w:val="24"/>
                <w:color w:val="auto"/>
              </w:rPr>
            </w:pPr>
          </w:p>
        </w:tc>
      </w:tr>
      <w:tr>
        <w:trPr>
          <w:trHeight w:val="208"/>
        </w:trPr>
        <w:tc>
          <w:tcPr>
            <w:tcW w:w="3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120" w:type="dxa"/>
            <w:vAlign w:val="bottom"/>
            <w:gridSpan w:val="5"/>
          </w:tcPr>
          <w:p>
            <w:pPr>
              <w:jc w:val="center"/>
              <w:ind w:right="540"/>
              <w:spacing w:after="0"/>
              <w:rPr>
                <w:sz w:val="20"/>
                <w:szCs w:val="20"/>
                <w:color w:val="auto"/>
              </w:rPr>
            </w:pPr>
            <w:r>
              <w:rPr>
                <w:rFonts w:ascii="Times New Roman" w:cs="Times New Roman" w:eastAsia="Times New Roman" w:hAnsi="Times New Roman"/>
                <w:sz w:val="16"/>
                <w:szCs w:val="16"/>
                <w:color w:val="auto"/>
                <w:w w:val="99"/>
              </w:rPr>
              <w:t>(Registrant’s telephone number, including area code)</w:t>
            </w:r>
          </w:p>
        </w:tc>
        <w:tc>
          <w:tcPr>
            <w:tcW w:w="3300" w:type="dxa"/>
            <w:vAlign w:val="bottom"/>
          </w:tcPr>
          <w:p>
            <w:pPr>
              <w:spacing w:after="0"/>
              <w:rPr>
                <w:sz w:val="18"/>
                <w:szCs w:val="18"/>
                <w:color w:val="auto"/>
              </w:rPr>
            </w:pPr>
          </w:p>
        </w:tc>
      </w:tr>
    </w:tbl>
    <w:p>
      <w:pPr>
        <w:spacing w:after="0" w:line="172"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6"/>
          <w:szCs w:val="16"/>
          <w:b w:val="1"/>
          <w:bCs w:val="1"/>
          <w:color w:val="auto"/>
        </w:rPr>
        <w:t>Not Applicable</w:t>
      </w:r>
    </w:p>
    <w:p>
      <w:pPr>
        <w:spacing w:after="0" w:line="26"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6"/>
          <w:szCs w:val="16"/>
          <w:color w:val="auto"/>
        </w:rPr>
        <w:t>(Former name or former address, if changed since last report)</w:t>
      </w:r>
    </w:p>
    <w:p>
      <w:pPr>
        <w:spacing w:after="0" w:line="182" w:lineRule="exact"/>
        <w:rPr>
          <w:sz w:val="24"/>
          <w:szCs w:val="24"/>
          <w:color w:val="auto"/>
        </w:rPr>
      </w:pPr>
    </w:p>
    <w:p>
      <w:pPr>
        <w:ind w:left="4"/>
        <w:spacing w:after="0"/>
        <w:rPr>
          <w:sz w:val="20"/>
          <w:szCs w:val="20"/>
          <w:color w:val="auto"/>
        </w:rPr>
      </w:pPr>
      <w:r>
        <w:rPr>
          <w:rFonts w:ascii="Times New Roman" w:cs="Times New Roman" w:eastAsia="Times New Roman" w:hAnsi="Times New Roman"/>
          <w:sz w:val="16"/>
          <w:szCs w:val="16"/>
          <w:color w:val="auto"/>
        </w:rPr>
        <w:t>Check the appropriate box below if the Form 8-K is intended to simultaneously satisfy the filing obligation of the registrant under any of the following provisions:</w:t>
      </w:r>
    </w:p>
    <w:p>
      <w:pPr>
        <w:spacing w:after="0" w:line="198" w:lineRule="exact"/>
        <w:rPr>
          <w:sz w:val="24"/>
          <w:szCs w:val="24"/>
          <w:color w:val="auto"/>
        </w:rPr>
      </w:pPr>
    </w:p>
    <w:p>
      <w:pPr>
        <w:ind w:left="284" w:hanging="284"/>
        <w:spacing w:after="0"/>
        <w:tabs>
          <w:tab w:leader="none" w:pos="284"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Written communication pursuant to Rule 425 under the Securities Act (17 CFR 230.425)</w:t>
      </w:r>
    </w:p>
    <w:p>
      <w:pPr>
        <w:spacing w:after="0" w:line="198" w:lineRule="exact"/>
        <w:rPr>
          <w:rFonts w:ascii="MS PGothic" w:cs="MS PGothic" w:eastAsia="MS PGothic" w:hAnsi="MS PGothic"/>
          <w:sz w:val="16"/>
          <w:szCs w:val="16"/>
          <w:color w:val="auto"/>
        </w:rPr>
      </w:pPr>
    </w:p>
    <w:p>
      <w:pPr>
        <w:ind w:left="284" w:hanging="284"/>
        <w:spacing w:after="0"/>
        <w:tabs>
          <w:tab w:leader="none" w:pos="284"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198" w:lineRule="exact"/>
        <w:rPr>
          <w:rFonts w:ascii="MS PGothic" w:cs="MS PGothic" w:eastAsia="MS PGothic" w:hAnsi="MS PGothic"/>
          <w:sz w:val="16"/>
          <w:szCs w:val="16"/>
          <w:color w:val="auto"/>
        </w:rPr>
      </w:pPr>
    </w:p>
    <w:p>
      <w:pPr>
        <w:ind w:left="284" w:hanging="284"/>
        <w:spacing w:after="0"/>
        <w:tabs>
          <w:tab w:leader="none" w:pos="284"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198" w:lineRule="exact"/>
        <w:rPr>
          <w:rFonts w:ascii="MS PGothic" w:cs="MS PGothic" w:eastAsia="MS PGothic" w:hAnsi="MS PGothic"/>
          <w:sz w:val="16"/>
          <w:szCs w:val="16"/>
          <w:color w:val="auto"/>
        </w:rPr>
      </w:pPr>
    </w:p>
    <w:p>
      <w:pPr>
        <w:ind w:left="4" w:right="3800" w:hanging="4"/>
        <w:spacing w:after="0" w:line="497" w:lineRule="auto"/>
        <w:tabs>
          <w:tab w:leader="none" w:pos="291"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Pre-commencements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4" w:type="dxa"/>
        <w:tblCellMar>
          <w:top w:w="0" w:type="dxa"/>
          <w:left w:w="0" w:type="dxa"/>
          <w:bottom w:w="0" w:type="dxa"/>
          <w:right w:w="0" w:type="dxa"/>
        </w:tblCellMar>
      </w:tblPr>
      <w:tr>
        <w:trPr>
          <w:trHeight w:val="214"/>
        </w:trPr>
        <w:tc>
          <w:tcPr>
            <w:tcW w:w="38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Title of each class</w:t>
            </w:r>
          </w:p>
        </w:tc>
        <w:tc>
          <w:tcPr>
            <w:tcW w:w="38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8"/>
              </w:rPr>
              <w:t>Trading Symbols</w:t>
            </w:r>
          </w:p>
        </w:tc>
        <w:tc>
          <w:tcPr>
            <w:tcW w:w="36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Name of each exchange on which registered</w:t>
            </w:r>
          </w:p>
        </w:tc>
      </w:tr>
      <w:tr>
        <w:trPr>
          <w:trHeight w:val="191"/>
        </w:trPr>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Common Stock, par value $0.0001 per share</w:t>
            </w:r>
          </w:p>
        </w:tc>
        <w:tc>
          <w:tcPr>
            <w:tcW w:w="240" w:type="dxa"/>
            <w:vAlign w:val="bottom"/>
            <w:tcBorders>
              <w:top w:val="single" w:sz="8" w:color="CCEEFF"/>
            </w:tcBorders>
            <w:shd w:val="clear" w:color="auto" w:fill="CCEEFF"/>
          </w:tcPr>
          <w:p>
            <w:pPr>
              <w:spacing w:after="0"/>
              <w:rPr>
                <w:sz w:val="16"/>
                <w:szCs w:val="16"/>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MDAI</w:t>
            </w:r>
          </w:p>
        </w:tc>
        <w:tc>
          <w:tcPr>
            <w:tcW w:w="220" w:type="dxa"/>
            <w:vAlign w:val="bottom"/>
            <w:tcBorders>
              <w:top w:val="single" w:sz="8" w:color="CCEEFF"/>
            </w:tcBorders>
            <w:shd w:val="clear" w:color="auto" w:fill="CCEEFF"/>
          </w:tcPr>
          <w:p>
            <w:pPr>
              <w:spacing w:after="0"/>
              <w:rPr>
                <w:sz w:val="16"/>
                <w:szCs w:val="16"/>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The Nasdaq Stock Market LLC</w:t>
            </w:r>
          </w:p>
        </w:tc>
      </w:tr>
      <w:tr>
        <w:trPr>
          <w:trHeight w:val="173"/>
        </w:trPr>
        <w:tc>
          <w:tcPr>
            <w:tcW w:w="3840" w:type="dxa"/>
            <w:vAlign w:val="bottom"/>
            <w:gridSpan w:val="2"/>
          </w:tcPr>
          <w:p>
            <w:pPr>
              <w:jc w:val="center"/>
              <w:ind w:right="240"/>
              <w:spacing w:after="0" w:line="173" w:lineRule="exact"/>
              <w:rPr>
                <w:sz w:val="20"/>
                <w:szCs w:val="20"/>
                <w:color w:val="auto"/>
              </w:rPr>
            </w:pPr>
            <w:r>
              <w:rPr>
                <w:rFonts w:ascii="Times New Roman" w:cs="Times New Roman" w:eastAsia="Times New Roman" w:hAnsi="Times New Roman"/>
                <w:sz w:val="16"/>
                <w:szCs w:val="16"/>
                <w:b w:val="1"/>
                <w:bCs w:val="1"/>
                <w:color w:val="auto"/>
                <w:w w:val="99"/>
              </w:rPr>
              <w:t>Redeemable Warrants, each whole warrant</w:t>
            </w:r>
          </w:p>
        </w:tc>
        <w:tc>
          <w:tcPr>
            <w:tcW w:w="3820" w:type="dxa"/>
            <w:vAlign w:val="bottom"/>
            <w:gridSpan w:val="2"/>
          </w:tcPr>
          <w:p>
            <w:pPr>
              <w:jc w:val="center"/>
              <w:ind w:right="220"/>
              <w:spacing w:after="0" w:line="173" w:lineRule="exact"/>
              <w:rPr>
                <w:sz w:val="20"/>
                <w:szCs w:val="20"/>
                <w:color w:val="auto"/>
              </w:rPr>
            </w:pPr>
            <w:r>
              <w:rPr>
                <w:rFonts w:ascii="Times New Roman" w:cs="Times New Roman" w:eastAsia="Times New Roman" w:hAnsi="Times New Roman"/>
                <w:sz w:val="16"/>
                <w:szCs w:val="16"/>
                <w:b w:val="1"/>
                <w:bCs w:val="1"/>
                <w:color w:val="auto"/>
                <w:w w:val="99"/>
              </w:rPr>
              <w:t>MDAIW</w:t>
            </w:r>
          </w:p>
        </w:tc>
        <w:tc>
          <w:tcPr>
            <w:tcW w:w="3600" w:type="dxa"/>
            <w:vAlign w:val="bottom"/>
          </w:tcPr>
          <w:p>
            <w:pPr>
              <w:jc w:val="center"/>
              <w:spacing w:after="0" w:line="173" w:lineRule="exact"/>
              <w:rPr>
                <w:sz w:val="20"/>
                <w:szCs w:val="20"/>
                <w:color w:val="auto"/>
              </w:rPr>
            </w:pPr>
            <w:r>
              <w:rPr>
                <w:rFonts w:ascii="Times New Roman" w:cs="Times New Roman" w:eastAsia="Times New Roman" w:hAnsi="Times New Roman"/>
                <w:sz w:val="16"/>
                <w:szCs w:val="16"/>
                <w:b w:val="1"/>
                <w:bCs w:val="1"/>
                <w:color w:val="auto"/>
                <w:w w:val="99"/>
              </w:rPr>
              <w:t>The Nasdaq Stock Market LLC</w:t>
            </w:r>
          </w:p>
        </w:tc>
      </w:tr>
      <w:tr>
        <w:trPr>
          <w:trHeight w:val="191"/>
        </w:trPr>
        <w:tc>
          <w:tcPr>
            <w:tcW w:w="38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exercisable for one share of Common Stock, at an</w:t>
            </w:r>
          </w:p>
        </w:tc>
        <w:tc>
          <w:tcPr>
            <w:tcW w:w="3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0" w:type="dxa"/>
            <w:vAlign w:val="bottom"/>
          </w:tcPr>
          <w:p>
            <w:pPr>
              <w:spacing w:after="0"/>
              <w:rPr>
                <w:sz w:val="16"/>
                <w:szCs w:val="16"/>
                <w:color w:val="auto"/>
              </w:rPr>
            </w:pPr>
          </w:p>
        </w:tc>
      </w:tr>
      <w:tr>
        <w:trPr>
          <w:trHeight w:val="210"/>
        </w:trPr>
        <w:tc>
          <w:tcPr>
            <w:tcW w:w="38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8"/>
              </w:rPr>
              <w:t>exercise price of $11.50 per share</w:t>
            </w:r>
          </w:p>
        </w:tc>
        <w:tc>
          <w:tcPr>
            <w:tcW w:w="3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0" w:type="dxa"/>
            <w:vAlign w:val="bottom"/>
          </w:tcPr>
          <w:p>
            <w:pPr>
              <w:spacing w:after="0"/>
              <w:rPr>
                <w:sz w:val="18"/>
                <w:szCs w:val="18"/>
                <w:color w:val="auto"/>
              </w:rPr>
            </w:pPr>
          </w:p>
        </w:tc>
      </w:tr>
    </w:tbl>
    <w:p>
      <w:pPr>
        <w:spacing w:after="0" w:line="174" w:lineRule="exact"/>
        <w:rPr>
          <w:sz w:val="24"/>
          <w:szCs w:val="24"/>
          <w:color w:val="auto"/>
        </w:rPr>
      </w:pPr>
    </w:p>
    <w:p>
      <w:pPr>
        <w:jc w:val="both"/>
        <w:ind w:left="4"/>
        <w:spacing w:after="0" w:line="280"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08" w:lineRule="exact"/>
        <w:rPr>
          <w:sz w:val="24"/>
          <w:szCs w:val="24"/>
          <w:color w:val="auto"/>
        </w:rPr>
      </w:pPr>
    </w:p>
    <w:p>
      <w:pPr>
        <w:ind w:left="4"/>
        <w:spacing w:after="0" w:line="184"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6"/>
          <w:szCs w:val="16"/>
          <w:color w:val="auto"/>
        </w:rPr>
        <w:t>☒</w:t>
      </w:r>
    </w:p>
    <w:p>
      <w:pPr>
        <w:spacing w:after="0" w:line="234" w:lineRule="exact"/>
        <w:rPr>
          <w:sz w:val="24"/>
          <w:szCs w:val="24"/>
          <w:color w:val="auto"/>
        </w:rPr>
      </w:pPr>
    </w:p>
    <w:p>
      <w:pPr>
        <w:jc w:val="both"/>
        <w:ind w:left="4"/>
        <w:spacing w:after="0" w:line="211"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106680</wp:posOffset>
            </wp:positionV>
            <wp:extent cx="714819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4819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129540</wp:posOffset>
            </wp:positionV>
            <wp:extent cx="7148195" cy="152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48195" cy="1524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524510</wp:posOffset>
            </wp:positionV>
            <wp:extent cx="7148195" cy="152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468" w:right="319" w:bottom="1440" w:gutter="0" w:footer="0" w:header="0"/>
        </w:sectPr>
      </w:pPr>
    </w:p>
    <w:bookmarkStart w:id="1" w:name="page2"/>
    <w:bookmarkEnd w:id="1"/>
    <w:p>
      <w:pPr>
        <w:ind w:left="4"/>
        <w:spacing w:after="0"/>
        <w:rPr>
          <w:sz w:val="20"/>
          <w:szCs w:val="20"/>
          <w:color w:val="auto"/>
        </w:rPr>
      </w:pPr>
      <w:r>
        <w:rPr>
          <w:rFonts w:ascii="Times New Roman" w:cs="Times New Roman" w:eastAsia="Times New Roman" w:hAnsi="Times New Roman"/>
          <w:sz w:val="16"/>
          <w:szCs w:val="16"/>
          <w:b w:val="1"/>
          <w:bCs w:val="1"/>
          <w:color w:val="auto"/>
        </w:rPr>
        <w:t>Item 7.01. Regulation FD Disclosure.</w:t>
      </w:r>
    </w:p>
    <w:p>
      <w:pPr>
        <w:spacing w:after="0" w:line="198" w:lineRule="exact"/>
        <w:rPr>
          <w:sz w:val="20"/>
          <w:szCs w:val="20"/>
          <w:color w:val="auto"/>
        </w:rPr>
      </w:pPr>
    </w:p>
    <w:p>
      <w:pPr>
        <w:jc w:val="both"/>
        <w:ind w:left="4" w:right="20" w:firstLine="574"/>
        <w:spacing w:after="0" w:line="266" w:lineRule="auto"/>
        <w:rPr>
          <w:sz w:val="20"/>
          <w:szCs w:val="20"/>
          <w:color w:val="auto"/>
        </w:rPr>
      </w:pPr>
      <w:r>
        <w:rPr>
          <w:rFonts w:ascii="Times New Roman" w:cs="Times New Roman" w:eastAsia="Times New Roman" w:hAnsi="Times New Roman"/>
          <w:sz w:val="16"/>
          <w:szCs w:val="16"/>
          <w:color w:val="auto"/>
        </w:rPr>
        <w:t>On February 13, 2024, the Company posted an investor presentation to its website at www.spectral-ai.com (the “</w:t>
      </w:r>
      <w:r>
        <w:rPr>
          <w:rFonts w:ascii="Times New Roman" w:cs="Times New Roman" w:eastAsia="Times New Roman" w:hAnsi="Times New Roman"/>
          <w:sz w:val="16"/>
          <w:szCs w:val="16"/>
          <w:b w:val="1"/>
          <w:bCs w:val="1"/>
          <w:color w:val="auto"/>
        </w:rPr>
        <w:t>Investor Presentation</w:t>
      </w:r>
      <w:r>
        <w:rPr>
          <w:rFonts w:ascii="Times New Roman" w:cs="Times New Roman" w:eastAsia="Times New Roman" w:hAnsi="Times New Roman"/>
          <w:sz w:val="16"/>
          <w:szCs w:val="16"/>
          <w:color w:val="auto"/>
        </w:rPr>
        <w:t>”). A copy of the Investor Presentation is furnished as Exhibit 99.1 to this Current Report on Form 8-K and is incorporated herein by reference. The Company expects to use the Investor Presentation, in whole or in part, and possibly with modifications, in connection with presentations to investors, analysts and others.</w:t>
      </w:r>
    </w:p>
    <w:p>
      <w:pPr>
        <w:spacing w:after="0" w:line="155" w:lineRule="exact"/>
        <w:rPr>
          <w:sz w:val="20"/>
          <w:szCs w:val="20"/>
          <w:color w:val="auto"/>
        </w:rPr>
      </w:pPr>
    </w:p>
    <w:p>
      <w:pPr>
        <w:jc w:val="both"/>
        <w:ind w:left="4" w:right="20" w:firstLine="574"/>
        <w:spacing w:after="0" w:line="290" w:lineRule="auto"/>
        <w:rPr>
          <w:sz w:val="20"/>
          <w:szCs w:val="20"/>
          <w:color w:val="auto"/>
        </w:rPr>
      </w:pPr>
      <w:r>
        <w:rPr>
          <w:rFonts w:ascii="Times New Roman" w:cs="Times New Roman" w:eastAsia="Times New Roman" w:hAnsi="Times New Roman"/>
          <w:sz w:val="15"/>
          <w:szCs w:val="15"/>
          <w:color w:val="auto"/>
        </w:rPr>
        <w:t>The information in this Item 7.01 to this Current Report on Form 8-K, and in Exhibit 99.1 furnished herewith, shall not be deemed to be “filed” for purposes of Section 18 of the Securities Exchange Act of 1934, as amended (the “</w:t>
      </w:r>
      <w:r>
        <w:rPr>
          <w:rFonts w:ascii="Times New Roman" w:cs="Times New Roman" w:eastAsia="Times New Roman" w:hAnsi="Times New Roman"/>
          <w:sz w:val="15"/>
          <w:szCs w:val="15"/>
          <w:b w:val="1"/>
          <w:bCs w:val="1"/>
          <w:color w:val="auto"/>
        </w:rPr>
        <w:t>Exchange Act</w:t>
      </w:r>
      <w:r>
        <w:rPr>
          <w:rFonts w:ascii="Times New Roman" w:cs="Times New Roman" w:eastAsia="Times New Roman" w:hAnsi="Times New Roman"/>
          <w:sz w:val="15"/>
          <w:szCs w:val="15"/>
          <w:color w:val="auto"/>
        </w:rPr>
        <w:t>”), or otherwise subject to the liabilities of that section, nor shall such information be deemed incorporated by reference in any filing under the Securities Act of 1933, as amended, or the Exchange Act, except as expressly set forth by specific reference in such a filing.</w:t>
      </w:r>
    </w:p>
    <w:p>
      <w:pPr>
        <w:spacing w:after="0" w:line="138"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b w:val="1"/>
          <w:bCs w:val="1"/>
          <w:color w:val="auto"/>
        </w:rPr>
        <w:t>Item 9.01. Financial Statements and Exhibits.</w:t>
      </w:r>
    </w:p>
    <w:p>
      <w:pPr>
        <w:spacing w:after="0" w:line="200" w:lineRule="exact"/>
        <w:rPr>
          <w:sz w:val="20"/>
          <w:szCs w:val="20"/>
          <w:color w:val="auto"/>
        </w:rPr>
      </w:pPr>
    </w:p>
    <w:tbl>
      <w:tblPr>
        <w:tblLayout w:type="fixed"/>
        <w:tblInd w:w="4" w:type="dxa"/>
        <w:tblCellMar>
          <w:top w:w="0" w:type="dxa"/>
          <w:left w:w="0" w:type="dxa"/>
          <w:bottom w:w="0" w:type="dxa"/>
          <w:right w:w="0" w:type="dxa"/>
        </w:tblCellMar>
      </w:tblPr>
      <w:tr>
        <w:trPr>
          <w:trHeight w:val="208"/>
        </w:trPr>
        <w:tc>
          <w:tcPr>
            <w:tcW w:w="1020" w:type="dxa"/>
            <w:vAlign w:val="bottom"/>
          </w:tcPr>
          <w:p>
            <w:pPr>
              <w:spacing w:after="0"/>
              <w:rPr>
                <w:sz w:val="20"/>
                <w:szCs w:val="20"/>
                <w:color w:val="auto"/>
              </w:rPr>
            </w:pPr>
            <w:r>
              <w:rPr>
                <w:rFonts w:ascii="Times New Roman" w:cs="Times New Roman" w:eastAsia="Times New Roman" w:hAnsi="Times New Roman"/>
                <w:sz w:val="16"/>
                <w:szCs w:val="16"/>
                <w:color w:val="auto"/>
              </w:rPr>
              <w:t>(d) Exhibits</w:t>
            </w:r>
          </w:p>
        </w:tc>
        <w:tc>
          <w:tcPr>
            <w:tcW w:w="12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6340" w:type="dxa"/>
            <w:vAlign w:val="bottom"/>
          </w:tcPr>
          <w:p>
            <w:pPr>
              <w:spacing w:after="0"/>
              <w:rPr>
                <w:sz w:val="18"/>
                <w:szCs w:val="18"/>
                <w:color w:val="auto"/>
              </w:rPr>
            </w:pPr>
          </w:p>
        </w:tc>
      </w:tr>
      <w:tr>
        <w:trPr>
          <w:trHeight w:val="386"/>
        </w:trPr>
        <w:tc>
          <w:tcPr>
            <w:tcW w:w="1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Exhibit No.</w:t>
            </w:r>
          </w:p>
        </w:tc>
        <w:tc>
          <w:tcPr>
            <w:tcW w:w="120" w:type="dxa"/>
            <w:vAlign w:val="bottom"/>
            <w:tcBorders>
              <w:bottom w:val="single" w:sz="8" w:color="CCEEFF"/>
            </w:tcBorders>
          </w:tcPr>
          <w:p>
            <w:pPr>
              <w:spacing w:after="0"/>
              <w:rPr>
                <w:sz w:val="24"/>
                <w:szCs w:val="24"/>
                <w:color w:val="auto"/>
              </w:rPr>
            </w:pPr>
          </w:p>
        </w:tc>
        <w:tc>
          <w:tcPr>
            <w:tcW w:w="3780" w:type="dxa"/>
            <w:vAlign w:val="bottom"/>
            <w:tcBorders>
              <w:bottom w:val="single" w:sz="8" w:color="auto"/>
            </w:tcBorders>
          </w:tcPr>
          <w:p>
            <w:pPr>
              <w:spacing w:after="0"/>
              <w:rPr>
                <w:sz w:val="24"/>
                <w:szCs w:val="24"/>
                <w:color w:val="auto"/>
              </w:rPr>
            </w:pPr>
          </w:p>
        </w:tc>
        <w:tc>
          <w:tcPr>
            <w:tcW w:w="6340" w:type="dxa"/>
            <w:vAlign w:val="bottom"/>
            <w:tcBorders>
              <w:bottom w:val="single" w:sz="8" w:color="auto"/>
            </w:tcBorders>
          </w:tcPr>
          <w:p>
            <w:pPr>
              <w:ind w:left="880"/>
              <w:spacing w:after="0"/>
              <w:rPr>
                <w:sz w:val="20"/>
                <w:szCs w:val="20"/>
                <w:color w:val="auto"/>
              </w:rPr>
            </w:pPr>
            <w:r>
              <w:rPr>
                <w:rFonts w:ascii="Times New Roman" w:cs="Times New Roman" w:eastAsia="Times New Roman" w:hAnsi="Times New Roman"/>
                <w:sz w:val="16"/>
                <w:szCs w:val="16"/>
                <w:b w:val="1"/>
                <w:bCs w:val="1"/>
                <w:color w:val="auto"/>
              </w:rPr>
              <w:t>Description</w:t>
            </w:r>
          </w:p>
        </w:tc>
      </w:tr>
      <w:tr>
        <w:trPr>
          <w:trHeight w:val="155"/>
        </w:trPr>
        <w:tc>
          <w:tcPr>
            <w:tcW w:w="1020" w:type="dxa"/>
            <w:vAlign w:val="bottom"/>
            <w:shd w:val="clear" w:color="auto" w:fill="CCEEFF"/>
          </w:tcPr>
          <w:p>
            <w:pPr>
              <w:spacing w:after="0" w:line="155" w:lineRule="exact"/>
              <w:rPr>
                <w:sz w:val="20"/>
                <w:szCs w:val="20"/>
                <w:color w:val="auto"/>
              </w:rPr>
            </w:pPr>
            <w:r>
              <w:rPr>
                <w:rFonts w:ascii="Times New Roman" w:cs="Times New Roman" w:eastAsia="Times New Roman" w:hAnsi="Times New Roman"/>
                <w:sz w:val="16"/>
                <w:szCs w:val="16"/>
                <w:color w:val="auto"/>
              </w:rPr>
              <w:t>99.1</w:t>
            </w:r>
          </w:p>
        </w:tc>
        <w:tc>
          <w:tcPr>
            <w:tcW w:w="120" w:type="dxa"/>
            <w:vAlign w:val="bottom"/>
            <w:shd w:val="clear" w:color="auto" w:fill="CCEEFF"/>
          </w:tcPr>
          <w:p>
            <w:pPr>
              <w:spacing w:after="0"/>
              <w:rPr>
                <w:sz w:val="13"/>
                <w:szCs w:val="13"/>
                <w:color w:val="auto"/>
              </w:rPr>
            </w:pPr>
          </w:p>
        </w:tc>
        <w:tc>
          <w:tcPr>
            <w:tcW w:w="10120" w:type="dxa"/>
            <w:vAlign w:val="bottom"/>
            <w:gridSpan w:val="2"/>
            <w:shd w:val="clear" w:color="auto" w:fill="CCEEFF"/>
          </w:tcPr>
          <w:p>
            <w:pPr>
              <w:spacing w:after="0" w:line="155" w:lineRule="exact"/>
              <w:rPr>
                <w:sz w:val="20"/>
                <w:szCs w:val="20"/>
                <w:color w:val="auto"/>
              </w:rPr>
            </w:pPr>
            <w:r>
              <w:rPr>
                <w:rFonts w:ascii="Times New Roman" w:cs="Times New Roman" w:eastAsia="Times New Roman" w:hAnsi="Times New Roman"/>
                <w:sz w:val="16"/>
                <w:szCs w:val="16"/>
                <w:color w:val="0000EE"/>
              </w:rPr>
              <w:t>Spectral AI Investor Presentation, dated February 13, 2024.</w:t>
            </w:r>
          </w:p>
        </w:tc>
      </w:tr>
      <w:tr>
        <w:trPr>
          <w:trHeight w:val="36"/>
        </w:trPr>
        <w:tc>
          <w:tcPr>
            <w:tcW w:w="102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3780" w:type="dxa"/>
            <w:vAlign w:val="bottom"/>
            <w:shd w:val="clear" w:color="auto" w:fill="0000EE"/>
          </w:tcPr>
          <w:p>
            <w:pPr>
              <w:spacing w:after="0"/>
              <w:rPr>
                <w:sz w:val="3"/>
                <w:szCs w:val="3"/>
                <w:color w:val="auto"/>
              </w:rPr>
            </w:pPr>
          </w:p>
        </w:tc>
        <w:tc>
          <w:tcPr>
            <w:tcW w:w="6340" w:type="dxa"/>
            <w:vAlign w:val="bottom"/>
            <w:shd w:val="clear" w:color="auto" w:fill="CCEEFF"/>
          </w:tcPr>
          <w:p>
            <w:pPr>
              <w:spacing w:after="0"/>
              <w:rPr>
                <w:sz w:val="3"/>
                <w:szCs w:val="3"/>
                <w:color w:val="auto"/>
              </w:rPr>
            </w:pPr>
          </w:p>
        </w:tc>
      </w:tr>
    </w:tbl>
    <w:p>
      <w:pPr>
        <w:ind w:left="5584" w:right="5020" w:hanging="5584"/>
        <w:spacing w:after="0" w:line="532" w:lineRule="auto"/>
        <w:tabs>
          <w:tab w:leader="none" w:pos="1131" w:val="left"/>
        </w:tabs>
        <w:numPr>
          <w:ilvl w:val="0"/>
          <w:numId w:val="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Cover Page Interactive Data File (embedded within the Inline XBRL document)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242570</wp:posOffset>
            </wp:positionV>
            <wp:extent cx="7148195" cy="152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814" w:right="31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6"/>
          <w:szCs w:val="16"/>
          <w:b w:val="1"/>
          <w:bCs w:val="1"/>
          <w:color w:val="auto"/>
        </w:rPr>
        <w:t>SIGNATURES</w:t>
      </w:r>
    </w:p>
    <w:p>
      <w:pPr>
        <w:spacing w:after="0" w:line="200"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6"/>
          <w:szCs w:val="16"/>
          <w:color w:val="auto"/>
        </w:rPr>
        <w:t>Pursuant to the requirements of the Securities Exchange Act of 1934, the registrant has duly caused this Current Report to be signed on its behalf by the undersigned hereunto duly authorized.</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Dated: February 13, 2024</w:t>
      </w:r>
    </w:p>
    <w:p>
      <w:pPr>
        <w:spacing w:after="0" w:line="196"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6"/>
          <w:szCs w:val="16"/>
          <w:b w:val="1"/>
          <w:bCs w:val="1"/>
          <w:color w:val="auto"/>
        </w:rPr>
        <w:t>SPECTRAL AI, INC.</w:t>
      </w:r>
    </w:p>
    <w:p>
      <w:pPr>
        <w:spacing w:after="0" w:line="200" w:lineRule="exact"/>
        <w:rPr>
          <w:sz w:val="20"/>
          <w:szCs w:val="20"/>
          <w:color w:val="auto"/>
        </w:rPr>
      </w:pPr>
    </w:p>
    <w:tbl>
      <w:tblPr>
        <w:tblLayout w:type="fixed"/>
        <w:tblInd w:w="6760" w:type="dxa"/>
        <w:tblCellMar>
          <w:top w:w="0" w:type="dxa"/>
          <w:left w:w="0" w:type="dxa"/>
          <w:bottom w:w="0" w:type="dxa"/>
          <w:right w:w="0" w:type="dxa"/>
        </w:tblCellMar>
      </w:tblPr>
      <w:tr>
        <w:trPr>
          <w:trHeight w:val="224"/>
        </w:trPr>
        <w:tc>
          <w:tcPr>
            <w:tcW w:w="560" w:type="dxa"/>
            <w:vAlign w:val="bottom"/>
          </w:tcPr>
          <w:p>
            <w:pPr>
              <w:spacing w:after="0"/>
              <w:rPr>
                <w:sz w:val="20"/>
                <w:szCs w:val="20"/>
                <w:color w:val="auto"/>
              </w:rPr>
            </w:pPr>
            <w:r>
              <w:rPr>
                <w:rFonts w:ascii="Times New Roman" w:cs="Times New Roman" w:eastAsia="Times New Roman" w:hAnsi="Times New Roman"/>
                <w:sz w:val="16"/>
                <w:szCs w:val="16"/>
                <w:color w:val="auto"/>
              </w:rPr>
              <w:t>By:</w:t>
            </w:r>
          </w:p>
        </w:tc>
        <w:tc>
          <w:tcPr>
            <w:tcW w:w="3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/s/ Wensheng Fan</w:t>
            </w:r>
          </w:p>
        </w:tc>
      </w:tr>
      <w:tr>
        <w:trPr>
          <w:trHeight w:val="175"/>
        </w:trPr>
        <w:tc>
          <w:tcPr>
            <w:tcW w:w="560" w:type="dxa"/>
            <w:vAlign w:val="bottom"/>
          </w:tcPr>
          <w:p>
            <w:pPr>
              <w:spacing w:after="0" w:line="175" w:lineRule="exact"/>
              <w:rPr>
                <w:sz w:val="20"/>
                <w:szCs w:val="20"/>
                <w:color w:val="auto"/>
              </w:rPr>
            </w:pPr>
            <w:r>
              <w:rPr>
                <w:rFonts w:ascii="Times New Roman" w:cs="Times New Roman" w:eastAsia="Times New Roman" w:hAnsi="Times New Roman"/>
                <w:sz w:val="16"/>
                <w:szCs w:val="16"/>
                <w:color w:val="auto"/>
              </w:rPr>
              <w:t>Name:</w:t>
            </w:r>
          </w:p>
        </w:tc>
        <w:tc>
          <w:tcPr>
            <w:tcW w:w="3940" w:type="dxa"/>
            <w:vAlign w:val="bottom"/>
          </w:tcPr>
          <w:p>
            <w:pPr>
              <w:spacing w:after="0" w:line="175" w:lineRule="exact"/>
              <w:rPr>
                <w:sz w:val="20"/>
                <w:szCs w:val="20"/>
                <w:color w:val="auto"/>
              </w:rPr>
            </w:pPr>
            <w:r>
              <w:rPr>
                <w:rFonts w:ascii="Times New Roman" w:cs="Times New Roman" w:eastAsia="Times New Roman" w:hAnsi="Times New Roman"/>
                <w:sz w:val="16"/>
                <w:szCs w:val="16"/>
                <w:color w:val="auto"/>
              </w:rPr>
              <w:t>Wensheng Fan</w:t>
            </w:r>
          </w:p>
        </w:tc>
      </w:tr>
      <w:tr>
        <w:trPr>
          <w:trHeight w:val="208"/>
        </w:trPr>
        <w:tc>
          <w:tcPr>
            <w:tcW w:w="560" w:type="dxa"/>
            <w:vAlign w:val="bottom"/>
          </w:tcPr>
          <w:p>
            <w:pPr>
              <w:spacing w:after="0"/>
              <w:rPr>
                <w:sz w:val="20"/>
                <w:szCs w:val="20"/>
                <w:color w:val="auto"/>
              </w:rPr>
            </w:pPr>
            <w:r>
              <w:rPr>
                <w:rFonts w:ascii="Times New Roman" w:cs="Times New Roman" w:eastAsia="Times New Roman" w:hAnsi="Times New Roman"/>
                <w:sz w:val="16"/>
                <w:szCs w:val="16"/>
                <w:color w:val="auto"/>
              </w:rPr>
              <w:t>Title:</w:t>
            </w:r>
          </w:p>
        </w:tc>
        <w:tc>
          <w:tcPr>
            <w:tcW w:w="3940" w:type="dxa"/>
            <w:vAlign w:val="bottom"/>
          </w:tcPr>
          <w:p>
            <w:pPr>
              <w:spacing w:after="0"/>
              <w:rPr>
                <w:sz w:val="20"/>
                <w:szCs w:val="20"/>
                <w:color w:val="auto"/>
              </w:rPr>
            </w:pPr>
            <w:r>
              <w:rPr>
                <w:rFonts w:ascii="Times New Roman" w:cs="Times New Roman" w:eastAsia="Times New Roman" w:hAnsi="Times New Roman"/>
                <w:sz w:val="16"/>
                <w:szCs w:val="16"/>
                <w:color w:val="auto"/>
              </w:rPr>
              <w:t>Chief Executive Officer</w:t>
            </w:r>
          </w:p>
        </w:tc>
      </w:tr>
    </w:tbl>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4" w:right="319" w:bottom="1440" w:gutter="0" w:footer="0" w:header="0"/>
        </w:sectPr>
      </w:pPr>
    </w:p>
    <w:bookmarkStart w:id="3" w:name="page4"/>
    <w:bookmarkEnd w:id="3"/>
    <w:p>
      <w:pPr>
        <w:ind w:left="9300"/>
        <w:spacing w:after="0"/>
        <w:rPr>
          <w:sz w:val="20"/>
          <w:szCs w:val="20"/>
          <w:color w:val="auto"/>
        </w:rPr>
      </w:pPr>
      <w:r>
        <w:rPr>
          <w:rFonts w:ascii="Times New Roman" w:cs="Times New Roman" w:eastAsia="Times New Roman" w:hAnsi="Times New Roman"/>
          <w:sz w:val="16"/>
          <w:szCs w:val="16"/>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-713105</wp:posOffset>
            </wp:positionH>
            <wp:positionV relativeFrom="paragraph">
              <wp:posOffset>137795</wp:posOffset>
            </wp:positionV>
            <wp:extent cx="7203440" cy="43326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0" w:num="1">
            <w:col w:w="10140"/>
          </w:cols>
          <w:pgMar w:left="1440" w:top="121" w:right="319" w:bottom="1440" w:gutter="0" w:footer="0" w:header="0"/>
        </w:sectPr>
      </w:pPr>
    </w:p>
    <w:bookmarkStart w:id="4" w:name="page5"/>
    <w:bookmarkEnd w:id="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4725035</wp:posOffset>
            </wp:positionV>
            <wp:extent cx="7148195" cy="152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4022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03440" cy="43402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4022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03440" cy="43402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0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2024-02-13T07:26:42Z</dcterms:created>
  <dcterms:modified xsi:type="dcterms:W3CDTF">2024-02-13T07:26:42Z</dcterms:modified>
</cp:coreProperties>
</file>