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447-10q_spectral.htm"/>
      <w:bookmarkStart w:id="1" w:name="ksea030144710q_spectra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quarterly period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SPECTRAL AI,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85-3987148</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2515 McKinney Avenue,</w:t>
      </w:r>
      <w:r>
        <w:rPr>
          <w:rFonts w:ascii="Times New Roman;Times;Serif" w:hAnsi="Times New Roman;Times;Serif"/>
          <w:b w:val="false"/>
          <w:i w:val="false"/>
          <w:caps w:val="false"/>
          <w:smallCaps w:val="false"/>
          <w:sz w:val="20"/>
        </w:rPr>
        <w:t xml:space="preserve"> </w:t>
        <w:br/>
      </w:r>
      <w:r>
        <w:rPr>
          <w:rFonts w:ascii="Times New Roman;Times;Serif" w:hAnsi="Times New Roman;Times;Serif"/>
          <w:b/>
          <w:i w:val="false"/>
          <w:caps w:val="false"/>
          <w:smallCaps w:val="false"/>
          <w:sz w:val="20"/>
        </w:rPr>
        <w:t>Suite 1000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Dallas, Texas 75201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(972) 499-4934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telephone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4"/>
        <w:gridCol w:w="60"/>
        <w:gridCol w:w="1275"/>
        <w:gridCol w:w="60"/>
        <w:gridCol w:w="2646"/>
      </w:tblGrid>
      <w:tr>
        <w:trPr/>
        <w:tc>
          <w:tcPr>
            <w:tcW w:w="616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64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16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MDAI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616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Redeemable warrants, each whole warrant exercisable for one share of Common Stock at an exercise price of $2.75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MDAIW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9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11, 2026, there were 32,184,928 shares of Common Stock, $0.0001 par value, issued and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SPECTRAL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 FOR THE QUARTER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639"/>
        <w:gridCol w:w="491"/>
      </w:tblGrid>
      <w:tr>
        <w:trPr/>
        <w:tc>
          <w:tcPr>
            <w:tcW w:w="9714" w:type="dxa"/>
            <w:gridSpan w:val="2"/>
            <w:tcBorders/>
            <w:shd w:fill="FFFFFF" w:val="clear"/>
            <w:vAlign w:val="center"/>
          </w:tcPr>
          <w:p>
            <w:pPr>
              <w:pStyle w:val="TableContents"/>
              <w:bidi w:val="0"/>
              <w:spacing w:before="0" w:after="283"/>
              <w:ind w:left="0" w:right="0" w:hanging="180"/>
              <w:jc w:val="left"/>
              <w:rPr/>
            </w:pPr>
            <w:r>
              <w:rPr/>
              <w:t> </w:t>
            </w:r>
          </w:p>
        </w:tc>
        <w:tc>
          <w:tcPr>
            <w:tcW w:w="491" w:type="dxa"/>
            <w:tcBorders>
              <w:bottom w:val="single" w:sz="12" w:space="0" w:color="000000"/>
            </w:tcBorders>
            <w:shd w:fill="FFFFFF" w:val="clear"/>
            <w:tcMar>
              <w:bottom w:w="28" w:type="dxa"/>
            </w:tcMar>
            <w:vAlign w:val="center"/>
          </w:tcPr>
          <w:p>
            <w:pPr>
              <w:pStyle w:val="TableContents"/>
              <w:bidi w:val="0"/>
              <w:spacing w:before="0" w:after="283"/>
              <w:ind w:left="0" w:right="0" w:hanging="180"/>
              <w:jc w:val="center"/>
              <w:rPr>
                <w:b/>
              </w:rPr>
            </w:pPr>
            <w:r>
              <w:rPr>
                <w:b/>
              </w:rPr>
              <w:t>Page</w:t>
            </w:r>
          </w:p>
        </w:tc>
      </w:tr>
      <w:tr>
        <w:trPr/>
        <w:tc>
          <w:tcPr>
            <w:tcW w:w="9714"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hanging="180"/>
              <w:jc w:val="center"/>
              <w:rPr/>
            </w:pPr>
            <w:r>
              <w:rPr/>
              <w:t> </w:t>
            </w:r>
          </w:p>
        </w:tc>
      </w:tr>
      <w:tr>
        <w:trPr/>
        <w:tc>
          <w:tcPr>
            <w:tcW w:w="9714" w:type="dxa"/>
            <w:gridSpan w:val="2"/>
            <w:tcBorders/>
            <w:shd w:fill="CCEEFF" w:val="clear"/>
            <w:vAlign w:val="center"/>
          </w:tcPr>
          <w:p>
            <w:pPr>
              <w:pStyle w:val="TableContents"/>
              <w:bidi w:val="0"/>
              <w:spacing w:before="0" w:after="283"/>
              <w:jc w:val="left"/>
              <w:rPr/>
            </w:pPr>
            <w:hyperlink w:anchor="a_001">
              <w:r>
                <w:rPr>
                  <w:rStyle w:val="InternetLink"/>
                </w:rPr>
                <w:t>Part I. Financial Information</w:t>
              </w:r>
            </w:hyperlink>
          </w:p>
        </w:tc>
        <w:tc>
          <w:tcPr>
            <w:tcW w:w="491" w:type="dxa"/>
            <w:tcBorders/>
            <w:shd w:fill="CCEEFF" w:val="clear"/>
            <w:vAlign w:val="center"/>
          </w:tcPr>
          <w:p>
            <w:pPr>
              <w:pStyle w:val="TableContents"/>
              <w:bidi w:val="0"/>
              <w:spacing w:before="0" w:after="283"/>
              <w:ind w:left="0" w:right="0" w:hanging="180"/>
              <w:jc w:val="center"/>
              <w:rPr/>
            </w:pPr>
            <w:r>
              <w:rPr/>
              <w:t>1</w:t>
            </w:r>
          </w:p>
        </w:tc>
      </w:tr>
      <w:tr>
        <w:trPr/>
        <w:tc>
          <w:tcPr>
            <w:tcW w:w="9714" w:type="dxa"/>
            <w:gridSpan w:val="2"/>
            <w:tcBorders/>
            <w:shd w:fill="FFFFFF" w:val="clear"/>
            <w:vAlign w:val="center"/>
          </w:tcPr>
          <w:p>
            <w:pPr>
              <w:pStyle w:val="TableContents"/>
              <w:bidi w:val="0"/>
              <w:spacing w:before="0" w:after="283"/>
              <w:jc w:val="left"/>
              <w:rPr/>
            </w:pPr>
            <w:hyperlink w:anchor="a_002">
              <w:r>
                <w:rPr>
                  <w:rStyle w:val="InternetLink"/>
                </w:rPr>
                <w:t>Item 1. Interim Financial Statements</w:t>
              </w:r>
            </w:hyperlink>
          </w:p>
        </w:tc>
        <w:tc>
          <w:tcPr>
            <w:tcW w:w="491" w:type="dxa"/>
            <w:tcBorders/>
            <w:shd w:fill="FFFFFF" w:val="clear"/>
            <w:vAlign w:val="center"/>
          </w:tcPr>
          <w:p>
            <w:pPr>
              <w:pStyle w:val="TableContents"/>
              <w:bidi w:val="0"/>
              <w:spacing w:before="0" w:after="283"/>
              <w:ind w:left="0" w:right="0" w:hanging="180"/>
              <w:jc w:val="center"/>
              <w:rPr/>
            </w:pPr>
            <w:r>
              <w:rPr/>
              <w:t>1</w:t>
            </w:r>
          </w:p>
        </w:tc>
      </w:tr>
      <w:tr>
        <w:trPr/>
        <w:tc>
          <w:tcPr>
            <w:tcW w:w="75" w:type="dxa"/>
            <w:tcBorders/>
            <w:shd w:fill="CCEEFF" w:val="clear"/>
            <w:vAlign w:val="center"/>
          </w:tcPr>
          <w:p>
            <w:pPr>
              <w:pStyle w:val="TableContents"/>
              <w:bidi w:val="0"/>
              <w:spacing w:before="0" w:after="283"/>
              <w:ind w:left="0" w:right="0" w:hanging="180"/>
              <w:jc w:val="left"/>
              <w:rPr/>
            </w:pPr>
            <w:r>
              <w:rPr/>
              <w:t> </w:t>
            </w:r>
          </w:p>
        </w:tc>
        <w:tc>
          <w:tcPr>
            <w:tcW w:w="9639"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Unaudited Condensed Consolidated Balance Sheets as of June 30, 2026 and December 31, 2025</w:t>
              </w:r>
            </w:hyperlink>
          </w:p>
        </w:tc>
        <w:tc>
          <w:tcPr>
            <w:tcW w:w="491" w:type="dxa"/>
            <w:tcBorders/>
            <w:shd w:fill="CCEEFF" w:val="clear"/>
            <w:vAlign w:val="center"/>
          </w:tcPr>
          <w:p>
            <w:pPr>
              <w:pStyle w:val="TableContents"/>
              <w:bidi w:val="0"/>
              <w:spacing w:before="0" w:after="283"/>
              <w:ind w:left="0" w:right="0" w:hanging="180"/>
              <w:jc w:val="center"/>
              <w:rPr/>
            </w:pPr>
            <w:r>
              <w:rPr/>
              <w:t>1</w:t>
            </w:r>
          </w:p>
        </w:tc>
      </w:tr>
      <w:tr>
        <w:trPr/>
        <w:tc>
          <w:tcPr>
            <w:tcW w:w="75" w:type="dxa"/>
            <w:tcBorders/>
            <w:shd w:fill="FFFFFF" w:val="clear"/>
            <w:vAlign w:val="center"/>
          </w:tcPr>
          <w:p>
            <w:pPr>
              <w:pStyle w:val="TableContents"/>
              <w:bidi w:val="0"/>
              <w:spacing w:before="0" w:after="283"/>
              <w:ind w:left="0" w:right="0" w:hanging="180"/>
              <w:jc w:val="left"/>
              <w:rPr/>
            </w:pPr>
            <w:r>
              <w:rPr/>
              <w:t> </w:t>
            </w:r>
          </w:p>
        </w:tc>
        <w:tc>
          <w:tcPr>
            <w:tcW w:w="9639"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Unaudited Condensed Consolidated Statements of Operations and Comprehensive Loss for the three and six months ended June 30, 2026 and 2025</w:t>
              </w:r>
            </w:hyperlink>
          </w:p>
        </w:tc>
        <w:tc>
          <w:tcPr>
            <w:tcW w:w="491" w:type="dxa"/>
            <w:tcBorders/>
            <w:shd w:fill="FFFFFF" w:val="clear"/>
            <w:vAlign w:val="center"/>
          </w:tcPr>
          <w:p>
            <w:pPr>
              <w:pStyle w:val="TableContents"/>
              <w:bidi w:val="0"/>
              <w:spacing w:before="0" w:after="283"/>
              <w:ind w:left="0" w:right="0" w:hanging="180"/>
              <w:jc w:val="center"/>
              <w:rPr/>
            </w:pPr>
            <w:r>
              <w:rPr/>
              <w:t>2</w:t>
            </w:r>
          </w:p>
        </w:tc>
      </w:tr>
      <w:tr>
        <w:trPr/>
        <w:tc>
          <w:tcPr>
            <w:tcW w:w="75" w:type="dxa"/>
            <w:tcBorders/>
            <w:shd w:fill="CCEEFF" w:val="clear"/>
            <w:vAlign w:val="center"/>
          </w:tcPr>
          <w:p>
            <w:pPr>
              <w:pStyle w:val="TableContents"/>
              <w:bidi w:val="0"/>
              <w:spacing w:before="0" w:after="283"/>
              <w:ind w:left="0" w:right="0" w:hanging="180"/>
              <w:jc w:val="left"/>
              <w:rPr/>
            </w:pPr>
            <w:r>
              <w:rPr/>
              <w:t> </w:t>
            </w:r>
          </w:p>
        </w:tc>
        <w:tc>
          <w:tcPr>
            <w:tcW w:w="9639"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Unaudited Condensed Consolidated Statements of Changes in Stockholders’ Deficit for the three and six months ended June 30, 2026 and 2025</w:t>
              </w:r>
            </w:hyperlink>
          </w:p>
        </w:tc>
        <w:tc>
          <w:tcPr>
            <w:tcW w:w="491" w:type="dxa"/>
            <w:tcBorders/>
            <w:shd w:fill="CCEEFF" w:val="clear"/>
            <w:vAlign w:val="center"/>
          </w:tcPr>
          <w:p>
            <w:pPr>
              <w:pStyle w:val="TableContents"/>
              <w:bidi w:val="0"/>
              <w:spacing w:before="0" w:after="283"/>
              <w:ind w:left="0" w:right="0" w:hanging="180"/>
              <w:jc w:val="center"/>
              <w:rPr/>
            </w:pPr>
            <w:r>
              <w:rPr/>
              <w:t>3</w:t>
            </w:r>
          </w:p>
        </w:tc>
      </w:tr>
      <w:tr>
        <w:trPr/>
        <w:tc>
          <w:tcPr>
            <w:tcW w:w="75" w:type="dxa"/>
            <w:tcBorders/>
            <w:shd w:fill="FFFFFF" w:val="clear"/>
            <w:vAlign w:val="center"/>
          </w:tcPr>
          <w:p>
            <w:pPr>
              <w:pStyle w:val="TableContents"/>
              <w:bidi w:val="0"/>
              <w:spacing w:before="0" w:after="283"/>
              <w:jc w:val="left"/>
              <w:rPr/>
            </w:pPr>
            <w:r>
              <w:rPr/>
              <w:t> </w:t>
            </w:r>
          </w:p>
        </w:tc>
        <w:tc>
          <w:tcPr>
            <w:tcW w:w="9639"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trike w:val="false"/>
                  <w:dstrike w:val="false"/>
                  <w:sz w:val="20"/>
                  <w:u w:val="single"/>
                  <w:effect w:val="none"/>
                </w:rPr>
                <w:t>Unaudited Condensed Consolidated Statements of Cash Flows for the six months ended June 30, 2026 and 2025</w:t>
              </w:r>
            </w:hyperlink>
          </w:p>
        </w:tc>
        <w:tc>
          <w:tcPr>
            <w:tcW w:w="491" w:type="dxa"/>
            <w:tcBorders/>
            <w:shd w:fill="FFFFFF" w:val="clear"/>
            <w:vAlign w:val="center"/>
          </w:tcPr>
          <w:p>
            <w:pPr>
              <w:pStyle w:val="TableContents"/>
              <w:bidi w:val="0"/>
              <w:spacing w:before="0" w:after="283"/>
              <w:ind w:left="0" w:right="0" w:hanging="180"/>
              <w:jc w:val="center"/>
              <w:rPr/>
            </w:pPr>
            <w:r>
              <w:rPr/>
              <w:t>4</w:t>
            </w:r>
          </w:p>
        </w:tc>
      </w:tr>
      <w:tr>
        <w:trPr/>
        <w:tc>
          <w:tcPr>
            <w:tcW w:w="75" w:type="dxa"/>
            <w:tcBorders/>
            <w:shd w:fill="CCEEFF" w:val="clear"/>
            <w:vAlign w:val="center"/>
          </w:tcPr>
          <w:p>
            <w:pPr>
              <w:pStyle w:val="TableContents"/>
              <w:bidi w:val="0"/>
              <w:spacing w:before="0" w:after="283"/>
              <w:ind w:left="0" w:right="0" w:hanging="180"/>
              <w:jc w:val="left"/>
              <w:rPr/>
            </w:pPr>
            <w:r>
              <w:rPr/>
              <w:t> </w:t>
            </w:r>
          </w:p>
        </w:tc>
        <w:tc>
          <w:tcPr>
            <w:tcW w:w="9639"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Notes to Unaudited Condensed Consolidated Financial Statements</w:t>
              </w:r>
            </w:hyperlink>
          </w:p>
        </w:tc>
        <w:tc>
          <w:tcPr>
            <w:tcW w:w="491" w:type="dxa"/>
            <w:tcBorders/>
            <w:shd w:fill="CCEEFF" w:val="clear"/>
            <w:vAlign w:val="center"/>
          </w:tcPr>
          <w:p>
            <w:pPr>
              <w:pStyle w:val="TableContents"/>
              <w:bidi w:val="0"/>
              <w:spacing w:before="0" w:after="283"/>
              <w:ind w:left="0" w:right="0" w:hanging="180"/>
              <w:jc w:val="center"/>
              <w:rPr/>
            </w:pPr>
            <w:r>
              <w:rPr/>
              <w:t>5</w:t>
            </w:r>
          </w:p>
        </w:tc>
      </w:tr>
      <w:tr>
        <w:trPr/>
        <w:tc>
          <w:tcPr>
            <w:tcW w:w="9714" w:type="dxa"/>
            <w:gridSpan w:val="2"/>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Item 2. Management’s Discussion and Analysis of Financial Condition and Results of Operations</w:t>
              </w:r>
            </w:hyperlink>
          </w:p>
        </w:tc>
        <w:tc>
          <w:tcPr>
            <w:tcW w:w="491" w:type="dxa"/>
            <w:tcBorders/>
            <w:shd w:fill="FFFFFF" w:val="clear"/>
            <w:vAlign w:val="center"/>
          </w:tcPr>
          <w:p>
            <w:pPr>
              <w:pStyle w:val="TableContents"/>
              <w:bidi w:val="0"/>
              <w:spacing w:before="0" w:after="283"/>
              <w:ind w:left="0" w:right="0" w:hanging="180"/>
              <w:jc w:val="center"/>
              <w:rPr/>
            </w:pPr>
            <w:r>
              <w:rPr/>
              <w:t>16</w:t>
            </w:r>
          </w:p>
        </w:tc>
      </w:tr>
      <w:tr>
        <w:trPr/>
        <w:tc>
          <w:tcPr>
            <w:tcW w:w="9714" w:type="dxa"/>
            <w:gridSpan w:val="2"/>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Item 3. Quantitative and Qualitative Disclosures About Market Risk</w:t>
              </w:r>
            </w:hyperlink>
          </w:p>
        </w:tc>
        <w:tc>
          <w:tcPr>
            <w:tcW w:w="491" w:type="dxa"/>
            <w:tcBorders/>
            <w:shd w:fill="CCEEFF" w:val="clear"/>
            <w:vAlign w:val="center"/>
          </w:tcPr>
          <w:p>
            <w:pPr>
              <w:pStyle w:val="TableContents"/>
              <w:bidi w:val="0"/>
              <w:spacing w:before="0" w:after="283"/>
              <w:ind w:left="0" w:right="0" w:hanging="180"/>
              <w:jc w:val="center"/>
              <w:rPr/>
            </w:pPr>
            <w:r>
              <w:rPr/>
              <w:t>22</w:t>
            </w:r>
          </w:p>
        </w:tc>
      </w:tr>
      <w:tr>
        <w:trPr/>
        <w:tc>
          <w:tcPr>
            <w:tcW w:w="9714" w:type="dxa"/>
            <w:gridSpan w:val="2"/>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Item 4. Controls and Procedures</w:t>
              </w:r>
            </w:hyperlink>
          </w:p>
        </w:tc>
        <w:tc>
          <w:tcPr>
            <w:tcW w:w="491" w:type="dxa"/>
            <w:tcBorders/>
            <w:shd w:fill="FFFFFF" w:val="clear"/>
            <w:vAlign w:val="center"/>
          </w:tcPr>
          <w:p>
            <w:pPr>
              <w:pStyle w:val="TableContents"/>
              <w:bidi w:val="0"/>
              <w:spacing w:before="0" w:after="283"/>
              <w:ind w:left="0" w:right="0" w:hanging="180"/>
              <w:jc w:val="center"/>
              <w:rPr/>
            </w:pPr>
            <w:r>
              <w:rPr/>
              <w:t>23</w:t>
            </w:r>
          </w:p>
        </w:tc>
      </w:tr>
      <w:tr>
        <w:trPr/>
        <w:tc>
          <w:tcPr>
            <w:tcW w:w="9714" w:type="dxa"/>
            <w:gridSpan w:val="2"/>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ind w:left="0" w:right="0" w:hanging="180"/>
              <w:jc w:val="center"/>
              <w:rPr/>
            </w:pPr>
            <w:r>
              <w:rPr/>
              <w:t> </w:t>
            </w:r>
          </w:p>
        </w:tc>
      </w:tr>
      <w:tr>
        <w:trPr/>
        <w:tc>
          <w:tcPr>
            <w:tcW w:w="9714" w:type="dxa"/>
            <w:gridSpan w:val="2"/>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Part II. Other Information</w:t>
              </w:r>
            </w:hyperlink>
          </w:p>
        </w:tc>
        <w:tc>
          <w:tcPr>
            <w:tcW w:w="491" w:type="dxa"/>
            <w:tcBorders/>
            <w:shd w:fill="FFFFFF" w:val="clear"/>
            <w:vAlign w:val="center"/>
          </w:tcPr>
          <w:p>
            <w:pPr>
              <w:pStyle w:val="TableContents"/>
              <w:bidi w:val="0"/>
              <w:spacing w:before="0" w:after="283"/>
              <w:ind w:left="0" w:right="0" w:hanging="180"/>
              <w:jc w:val="center"/>
              <w:rPr/>
            </w:pPr>
            <w:r>
              <w:rPr/>
              <w:t>24</w:t>
            </w:r>
          </w:p>
        </w:tc>
      </w:tr>
      <w:tr>
        <w:trPr/>
        <w:tc>
          <w:tcPr>
            <w:tcW w:w="9714" w:type="dxa"/>
            <w:gridSpan w:val="2"/>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Item 1. Legal Proceedings</w:t>
              </w:r>
            </w:hyperlink>
          </w:p>
        </w:tc>
        <w:tc>
          <w:tcPr>
            <w:tcW w:w="491" w:type="dxa"/>
            <w:tcBorders/>
            <w:shd w:fill="CCEEFF" w:val="clear"/>
            <w:vAlign w:val="center"/>
          </w:tcPr>
          <w:p>
            <w:pPr>
              <w:pStyle w:val="TableContents"/>
              <w:bidi w:val="0"/>
              <w:spacing w:before="0" w:after="283"/>
              <w:ind w:left="0" w:right="0" w:hanging="180"/>
              <w:jc w:val="center"/>
              <w:rPr/>
            </w:pPr>
            <w:r>
              <w:rPr/>
              <w:t>24</w:t>
            </w:r>
          </w:p>
        </w:tc>
      </w:tr>
      <w:tr>
        <w:trPr/>
        <w:tc>
          <w:tcPr>
            <w:tcW w:w="9714" w:type="dxa"/>
            <w:gridSpan w:val="2"/>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Item 1A. Risk Factors</w:t>
              </w:r>
            </w:hyperlink>
          </w:p>
        </w:tc>
        <w:tc>
          <w:tcPr>
            <w:tcW w:w="491" w:type="dxa"/>
            <w:tcBorders/>
            <w:shd w:fill="FFFFFF" w:val="clear"/>
            <w:vAlign w:val="center"/>
          </w:tcPr>
          <w:p>
            <w:pPr>
              <w:pStyle w:val="TableContents"/>
              <w:bidi w:val="0"/>
              <w:spacing w:before="0" w:after="283"/>
              <w:ind w:left="0" w:right="0" w:hanging="180"/>
              <w:jc w:val="center"/>
              <w:rPr/>
            </w:pPr>
            <w:r>
              <w:rPr/>
              <w:t>24</w:t>
            </w:r>
          </w:p>
        </w:tc>
      </w:tr>
      <w:tr>
        <w:trPr/>
        <w:tc>
          <w:tcPr>
            <w:tcW w:w="9714" w:type="dxa"/>
            <w:gridSpan w:val="2"/>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Item 2. Unregistered Sales of Equity Securities and Use of Proceeds</w:t>
              </w:r>
            </w:hyperlink>
          </w:p>
        </w:tc>
        <w:tc>
          <w:tcPr>
            <w:tcW w:w="491" w:type="dxa"/>
            <w:tcBorders/>
            <w:shd w:fill="CCEEFF" w:val="clear"/>
            <w:vAlign w:val="center"/>
          </w:tcPr>
          <w:p>
            <w:pPr>
              <w:pStyle w:val="TableContents"/>
              <w:bidi w:val="0"/>
              <w:spacing w:before="0" w:after="283"/>
              <w:ind w:left="0" w:right="0" w:hanging="180"/>
              <w:jc w:val="center"/>
              <w:rPr/>
            </w:pPr>
            <w:r>
              <w:rPr/>
              <w:t>24</w:t>
            </w:r>
          </w:p>
        </w:tc>
      </w:tr>
      <w:tr>
        <w:trPr/>
        <w:tc>
          <w:tcPr>
            <w:tcW w:w="9714" w:type="dxa"/>
            <w:gridSpan w:val="2"/>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Item 3. Defaults Upon Senior Securities</w:t>
              </w:r>
            </w:hyperlink>
          </w:p>
        </w:tc>
        <w:tc>
          <w:tcPr>
            <w:tcW w:w="491" w:type="dxa"/>
            <w:tcBorders/>
            <w:shd w:fill="FFFFFF" w:val="clear"/>
            <w:vAlign w:val="center"/>
          </w:tcPr>
          <w:p>
            <w:pPr>
              <w:pStyle w:val="TableContents"/>
              <w:bidi w:val="0"/>
              <w:spacing w:before="0" w:after="283"/>
              <w:ind w:left="0" w:right="0" w:hanging="180"/>
              <w:jc w:val="center"/>
              <w:rPr/>
            </w:pPr>
            <w:r>
              <w:rPr/>
              <w:t>24</w:t>
            </w:r>
          </w:p>
        </w:tc>
      </w:tr>
      <w:tr>
        <w:trPr/>
        <w:tc>
          <w:tcPr>
            <w:tcW w:w="9714" w:type="dxa"/>
            <w:gridSpan w:val="2"/>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Item 4. Mine Safety Disclosures</w:t>
              </w:r>
            </w:hyperlink>
          </w:p>
        </w:tc>
        <w:tc>
          <w:tcPr>
            <w:tcW w:w="491" w:type="dxa"/>
            <w:tcBorders/>
            <w:shd w:fill="CCEEFF" w:val="clear"/>
            <w:vAlign w:val="center"/>
          </w:tcPr>
          <w:p>
            <w:pPr>
              <w:pStyle w:val="TableContents"/>
              <w:bidi w:val="0"/>
              <w:spacing w:before="0" w:after="283"/>
              <w:ind w:left="0" w:right="0" w:hanging="180"/>
              <w:jc w:val="center"/>
              <w:rPr/>
            </w:pPr>
            <w:r>
              <w:rPr/>
              <w:t>24</w:t>
            </w:r>
          </w:p>
        </w:tc>
      </w:tr>
      <w:tr>
        <w:trPr/>
        <w:tc>
          <w:tcPr>
            <w:tcW w:w="9714" w:type="dxa"/>
            <w:gridSpan w:val="2"/>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Item 5. Other Information</w:t>
              </w:r>
            </w:hyperlink>
          </w:p>
        </w:tc>
        <w:tc>
          <w:tcPr>
            <w:tcW w:w="491" w:type="dxa"/>
            <w:tcBorders/>
            <w:shd w:fill="FFFFFF" w:val="clear"/>
            <w:vAlign w:val="center"/>
          </w:tcPr>
          <w:p>
            <w:pPr>
              <w:pStyle w:val="TableContents"/>
              <w:bidi w:val="0"/>
              <w:spacing w:before="0" w:after="283"/>
              <w:ind w:left="0" w:right="0" w:hanging="180"/>
              <w:jc w:val="center"/>
              <w:rPr/>
            </w:pPr>
            <w:r>
              <w:rPr/>
              <w:t>24</w:t>
            </w:r>
          </w:p>
        </w:tc>
      </w:tr>
      <w:tr>
        <w:trPr/>
        <w:tc>
          <w:tcPr>
            <w:tcW w:w="9714" w:type="dxa"/>
            <w:gridSpan w:val="2"/>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Item 6. Exhibits</w:t>
              </w:r>
            </w:hyperlink>
          </w:p>
        </w:tc>
        <w:tc>
          <w:tcPr>
            <w:tcW w:w="491" w:type="dxa"/>
            <w:tcBorders/>
            <w:shd w:fill="CCEEFF" w:val="clear"/>
            <w:vAlign w:val="center"/>
          </w:tcPr>
          <w:p>
            <w:pPr>
              <w:pStyle w:val="TableContents"/>
              <w:bidi w:val="0"/>
              <w:spacing w:before="0" w:after="283"/>
              <w:ind w:left="0" w:right="0" w:hanging="180"/>
              <w:jc w:val="center"/>
              <w:rPr/>
            </w:pPr>
            <w:r>
              <w:rPr/>
              <w:t>24</w:t>
            </w:r>
          </w:p>
        </w:tc>
      </w:tr>
      <w:tr>
        <w:trPr/>
        <w:tc>
          <w:tcPr>
            <w:tcW w:w="9714"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hanging="180"/>
              <w:jc w:val="left"/>
              <w:rPr>
                <w:sz w:val="4"/>
                <w:szCs w:val="4"/>
              </w:rPr>
            </w:pPr>
            <w:r>
              <w:rPr>
                <w:sz w:val="4"/>
                <w:szCs w:val="4"/>
              </w:rPr>
            </w:r>
          </w:p>
        </w:tc>
      </w:tr>
      <w:tr>
        <w:trPr/>
        <w:tc>
          <w:tcPr>
            <w:tcW w:w="9714"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Part III. Signatures</w:t>
              </w:r>
            </w:hyperlink>
          </w:p>
        </w:tc>
        <w:tc>
          <w:tcPr>
            <w:tcW w:w="491" w:type="dxa"/>
            <w:tcBorders/>
            <w:shd w:fill="CCEEFF" w:val="clear"/>
            <w:vAlign w:val="center"/>
          </w:tcPr>
          <w:p>
            <w:pPr>
              <w:pStyle w:val="TableContents"/>
              <w:bidi w:val="0"/>
              <w:spacing w:before="0" w:after="283"/>
              <w:jc w:val="center"/>
              <w:rPr/>
            </w:pPr>
            <w:r>
              <w:rPr/>
              <w:t>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statements that are forward-looking and as such are not historical facts, including statements regarding our strategy, plans, objectives, initiatives, expected commercialization activities and financial outlook. These statements constitute projections, forecasts and forward-looking statements within the meaning of the Private Securities Litigation Reform Act of 1995. The words “anticipate,” “believe,” “continue,” “could,” “estimate,” “expect,” “intend,” “may,” “might,” “plan,” “possible,” “potential,” “predict,” “project,” “should,” “will,” “would” and similar expressions may identify forward-looking statements, but the absence of these words does not mean that a statement is not forward-looking.</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Quarterly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and uncertainties, some of which are beyond our control, that may cause actual results or performance to differ materially from those expressed or implied by these statements. Investors should carefully consider the risks and uncertainties described in Item 1A, Risk Factors, of our Annual Report on Form 10-K for the year ended December 31, 2025 and in our other filings with the Securities and Exchange Commission. We undertake no obligation to update or revise any forward-looking statement, whether as a result of new information, future events or otherwise, except as may be required under applicable securities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SPECTRAL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8"/>
        <w:gridCol w:w="60"/>
        <w:gridCol w:w="140"/>
        <w:gridCol w:w="755"/>
        <w:gridCol w:w="95"/>
        <w:gridCol w:w="60"/>
        <w:gridCol w:w="214"/>
        <w:gridCol w:w="1163"/>
        <w:gridCol w:w="90"/>
      </w:tblGrid>
      <w:tr>
        <w:trPr/>
        <w:tc>
          <w:tcPr>
            <w:tcW w:w="7628"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ind w:left="0" w:right="0" w:hanging="180"/>
              <w:jc w:val="left"/>
              <w:rPr/>
            </w:pPr>
            <w:r>
              <w:rPr/>
              <w:t> </w:t>
            </w:r>
          </w:p>
        </w:tc>
      </w:tr>
      <w:tr>
        <w:trPr/>
        <w:tc>
          <w:tcPr>
            <w:tcW w:w="76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ind w:left="0" w:right="0" w:hanging="180"/>
              <w:jc w:val="left"/>
              <w:rPr/>
            </w:pPr>
            <w:r>
              <w:rPr/>
              <w:t> </w:t>
            </w:r>
          </w:p>
        </w:tc>
      </w:tr>
      <w:tr>
        <w:trPr/>
        <w:tc>
          <w:tcPr>
            <w:tcW w:w="762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628"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15,394</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1,267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838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821</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1,133</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19,453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258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1,407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287</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19,436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pPr>
            <w:r>
              <w:rPr/>
              <w:t>21,405</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3,010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2,341</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154</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Lease liabilities, short-term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734</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2,854</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11,533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20,626</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Notes payable, long-term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5,538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Lease liabilities, long-term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968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27,132</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b/>
              </w:rPr>
            </w:pPr>
            <w:r>
              <w:rPr>
                <w:b/>
              </w:rPr>
              <w:t>Commitments and contingencies (Note 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b/>
              </w:rPr>
            </w:pPr>
            <w:r>
              <w:rPr>
                <w:b/>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Preferred stock ($0.0001 par value); 1,000,000 shares authorized; no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Common stock ($0.0001 par value); 80,000,000 shares authorized; 32,184,928 and 30,688,895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50,030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28"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2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(63,388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(55,800</w:t>
            </w:r>
          </w:p>
        </w:tc>
        <w:tc>
          <w:tcPr>
            <w:tcW w:w="90" w:type="dxa"/>
            <w:tcBorders/>
            <w:shd w:fill="FFFFFF" w:val="clear"/>
            <w:vAlign w:val="center"/>
          </w:tcPr>
          <w:p>
            <w:pPr>
              <w:pStyle w:val="TableContents"/>
              <w:bidi w:val="0"/>
              <w:spacing w:before="0" w:after="283"/>
              <w:ind w:left="0" w:right="0" w:hanging="180"/>
              <w:jc w:val="left"/>
              <w:rPr/>
            </w:pPr>
            <w:r>
              <w:rPr/>
              <w:t>)</w:t>
            </w:r>
          </w:p>
        </w:tc>
      </w:tr>
      <w:tr>
        <w:trPr/>
        <w:tc>
          <w:tcPr>
            <w:tcW w:w="7628" w:type="dxa"/>
            <w:tcBorders/>
            <w:shd w:fill="CCEEFF" w:val="clear"/>
            <w:vAlign w:val="center"/>
          </w:tcPr>
          <w:p>
            <w:pPr>
              <w:pStyle w:val="TableContents"/>
              <w:bidi w:val="0"/>
              <w:spacing w:before="0" w:after="283"/>
              <w:jc w:val="left"/>
              <w:rPr>
                <w:b/>
              </w:rPr>
            </w:pPr>
            <w:r>
              <w:rPr>
                <w:b/>
              </w:rPr>
              <w:t>Total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(12,054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(5,727</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628" w:type="dxa"/>
            <w:tcBorders/>
            <w:shd w:fill="FFFFFF" w:val="clear"/>
            <w:vAlign w:val="center"/>
          </w:tcPr>
          <w:p>
            <w:pPr>
              <w:pStyle w:val="TableContents"/>
              <w:bidi w:val="0"/>
              <w:spacing w:before="0" w:after="283"/>
              <w:jc w:val="left"/>
              <w:rPr>
                <w:b/>
              </w:rPr>
            </w:pPr>
            <w:r>
              <w:rPr>
                <w:b/>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19,436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pPr>
            <w:r>
              <w:rPr/>
              <w:t>21,405</w:t>
            </w:r>
          </w:p>
        </w:tc>
        <w:tc>
          <w:tcPr>
            <w:tcW w:w="9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SPECTRAL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share and per share data)</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025" w:type="dxa"/>
        <w:jc w:val="left"/>
        <w:tblInd w:w="0" w:type="dxa"/>
        <w:tblLayout w:type="fixed"/>
        <w:tblCellMar>
          <w:top w:w="0" w:type="dxa"/>
          <w:left w:w="0" w:type="dxa"/>
          <w:bottom w:w="0" w:type="dxa"/>
          <w:right w:w="0" w:type="dxa"/>
        </w:tblCellMar>
      </w:tblPr>
      <w:tblGrid>
        <w:gridCol w:w="4430"/>
        <w:gridCol w:w="60"/>
        <w:gridCol w:w="140"/>
        <w:gridCol w:w="1100"/>
        <w:gridCol w:w="95"/>
        <w:gridCol w:w="60"/>
        <w:gridCol w:w="140"/>
        <w:gridCol w:w="1100"/>
        <w:gridCol w:w="95"/>
        <w:gridCol w:w="60"/>
        <w:gridCol w:w="140"/>
        <w:gridCol w:w="1100"/>
        <w:gridCol w:w="95"/>
        <w:gridCol w:w="60"/>
        <w:gridCol w:w="140"/>
        <w:gridCol w:w="1100"/>
        <w:gridCol w:w="110"/>
      </w:tblGrid>
      <w:tr>
        <w:trPr/>
        <w:tc>
          <w:tcPr>
            <w:tcW w:w="443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ind w:left="0" w:right="0" w:hanging="180"/>
              <w:jc w:val="left"/>
              <w:rPr/>
            </w:pPr>
            <w:r>
              <w:rPr/>
              <w:t> </w:t>
            </w:r>
          </w:p>
        </w:tc>
      </w:tr>
      <w:tr>
        <w:trPr/>
        <w:tc>
          <w:tcPr>
            <w:tcW w:w="4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Research and development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11,772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3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(6,314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43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5,458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2,770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5,061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3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646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8,477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(3,019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30" w:type="dxa"/>
            <w:tcBorders/>
            <w:shd w:fill="FFFFFF" w:val="clear"/>
            <w:vAlign w:val="center"/>
          </w:tcPr>
          <w:p>
            <w:pPr>
              <w:pStyle w:val="TableContents"/>
              <w:bidi w:val="0"/>
              <w:spacing w:before="0" w:after="283"/>
              <w:jc w:val="left"/>
              <w:rPr/>
            </w:pPr>
            <w:r>
              <w:rPr/>
              <w:t>Net 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430" w:type="dxa"/>
            <w:tcBorders/>
            <w:shd w:fill="CCEEFF" w:val="clear"/>
            <w:vAlign w:val="center"/>
          </w:tcPr>
          <w:p>
            <w:pPr>
              <w:pStyle w:val="TableContents"/>
              <w:bidi w:val="0"/>
              <w:spacing w:before="0" w:after="283"/>
              <w:jc w:val="left"/>
              <w:rPr/>
            </w:pPr>
            <w:r>
              <w:rPr/>
              <w:t>Financing related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43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(1,196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430" w:type="dxa"/>
            <w:tcBorders/>
            <w:shd w:fill="CCEEFF" w:val="clear"/>
            <w:vAlign w:val="center"/>
          </w:tcPr>
          <w:p>
            <w:pPr>
              <w:pStyle w:val="TableContents"/>
              <w:bidi w:val="0"/>
              <w:spacing w:before="0" w:after="283"/>
              <w:jc w:val="left"/>
              <w:rPr/>
            </w:pPr>
            <w:r>
              <w:rPr/>
              <w:t>Change in fair value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30" w:type="dxa"/>
            <w:tcBorders/>
            <w:shd w:fill="FFFFFF" w:val="clear"/>
            <w:vAlign w:val="center"/>
          </w:tcPr>
          <w:p>
            <w:pPr>
              <w:pStyle w:val="TableContents"/>
              <w:bidi w:val="0"/>
              <w:spacing w:before="0" w:after="283"/>
              <w:jc w:val="left"/>
              <w:rPr/>
            </w:pPr>
            <w:r>
              <w:rPr/>
              <w:t>Foreign exchange transaction loss,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43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(5,864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(7,987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(7,428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(5,019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43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4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(5,071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430" w:type="dxa"/>
            <w:tcBorders/>
            <w:shd w:fill="FFFFFF" w:val="clear"/>
            <w:vAlign w:val="center"/>
          </w:tcPr>
          <w:p>
            <w:pPr>
              <w:pStyle w:val="TableContents"/>
              <w:bidi w:val="0"/>
              <w:spacing w:before="0" w:after="283"/>
              <w:jc w:val="left"/>
              <w:rPr/>
            </w:pPr>
            <w:r>
              <w:rPr/>
              <w:t>Net loss per share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430" w:type="dxa"/>
            <w:tcBorders/>
            <w:shd w:fill="FFFFFF" w:val="clear"/>
            <w:vAlign w:val="center"/>
          </w:tcPr>
          <w:p>
            <w:pPr>
              <w:pStyle w:val="TableContents"/>
              <w:bidi w:val="0"/>
              <w:spacing w:before="0" w:after="283"/>
              <w:jc w:val="left"/>
              <w:rPr/>
            </w:pPr>
            <w:r>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32,080,874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25,421,560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31,922,459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24,409,550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30" w:type="dxa"/>
            <w:tcBorders/>
            <w:shd w:fill="FFFFFF" w:val="clear"/>
            <w:vAlign w:val="center"/>
          </w:tcPr>
          <w:p>
            <w:pPr>
              <w:pStyle w:val="TableContents"/>
              <w:bidi w:val="0"/>
              <w:spacing w:before="0" w:after="283"/>
              <w:jc w:val="left"/>
              <w:rPr/>
            </w:pPr>
            <w:r>
              <w:rPr/>
              <w:t xml:space="preserve">Foreign currency translation adjustments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30" w:type="dxa"/>
            <w:tcBorders/>
            <w:shd w:fill="CCEEFF" w:val="clear"/>
            <w:vAlign w:val="center"/>
          </w:tcPr>
          <w:p>
            <w:pPr>
              <w:pStyle w:val="TableContents"/>
              <w:bidi w:val="0"/>
              <w:spacing w:before="0" w:after="283"/>
              <w:jc w:val="left"/>
              <w:rPr/>
            </w:pPr>
            <w:r>
              <w:rPr/>
              <w:t xml:space="preserve">Total comprehensive loss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(4,177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(7,599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(5,022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bookmarkStart w:id="6" w:name="a_005"/>
      <w:bookmarkEnd w:id="6"/>
      <w:r>
        <w:rPr>
          <w:rFonts w:ascii="Times New Roman;Times;Serif" w:hAnsi="Times New Roman;Times;Serif"/>
          <w:b/>
          <w:i w:val="false"/>
          <w:caps w:val="false"/>
          <w:smallCaps w:val="false"/>
          <w:sz w:val="20"/>
        </w:rPr>
        <w:t>SPECTRAL AI,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CHANGES IN STOCKHOLDERS’ DEFICIT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4"/>
        <w:gridCol w:w="60"/>
        <w:gridCol w:w="60"/>
        <w:gridCol w:w="1104"/>
        <w:gridCol w:w="60"/>
        <w:gridCol w:w="60"/>
        <w:gridCol w:w="430"/>
        <w:gridCol w:w="430"/>
        <w:gridCol w:w="60"/>
        <w:gridCol w:w="60"/>
        <w:gridCol w:w="187"/>
        <w:gridCol w:w="913"/>
        <w:gridCol w:w="60"/>
        <w:gridCol w:w="60"/>
        <w:gridCol w:w="473"/>
        <w:gridCol w:w="1137"/>
        <w:gridCol w:w="95"/>
        <w:gridCol w:w="60"/>
        <w:gridCol w:w="214"/>
        <w:gridCol w:w="1156"/>
        <w:gridCol w:w="95"/>
        <w:gridCol w:w="60"/>
        <w:gridCol w:w="211"/>
        <w:gridCol w:w="1143"/>
        <w:gridCol w:w="113"/>
      </w:tblGrid>
      <w:tr>
        <w:trPr/>
        <w:tc>
          <w:tcPr>
            <w:tcW w:w="1904"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ind w:left="0" w:right="0" w:hanging="180"/>
              <w:jc w:val="left"/>
              <w:rPr/>
            </w:pPr>
            <w:r>
              <w:rPr/>
              <w:t> </w:t>
            </w:r>
          </w:p>
        </w:tc>
      </w:tr>
      <w:tr>
        <w:trPr/>
        <w:tc>
          <w:tcPr>
            <w:tcW w:w="19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b/>
              </w:rPr>
            </w:pPr>
            <w:r>
              <w:rPr>
                <w:b/>
              </w:rPr>
              <w:t>Total</w:t>
              <w:br/>
              <w:t>Stockholders’</w:t>
            </w:r>
          </w:p>
        </w:tc>
        <w:tc>
          <w:tcPr>
            <w:tcW w:w="113" w:type="dxa"/>
            <w:tcBorders/>
            <w:vAlign w:val="center"/>
          </w:tcPr>
          <w:p>
            <w:pPr>
              <w:pStyle w:val="TableContents"/>
              <w:bidi w:val="0"/>
              <w:spacing w:before="0" w:after="283"/>
              <w:ind w:left="0" w:right="0" w:hanging="180"/>
              <w:jc w:val="left"/>
              <w:rPr/>
            </w:pPr>
            <w:r>
              <w:rPr/>
              <w:t> </w:t>
            </w:r>
          </w:p>
        </w:tc>
      </w:tr>
      <w:tr>
        <w:trPr/>
        <w:tc>
          <w:tcPr>
            <w:tcW w:w="19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ind w:left="0" w:right="0" w:hanging="180"/>
              <w:jc w:val="left"/>
              <w:rPr/>
            </w:pPr>
            <w:r>
              <w:rPr/>
              <w:t> </w:t>
            </w:r>
          </w:p>
        </w:tc>
      </w:tr>
      <w:tr>
        <w:trPr/>
        <w:tc>
          <w:tcPr>
            <w:tcW w:w="1904"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30,688,895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50,030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(55,800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3" w:type="dxa"/>
            <w:tcBorders/>
            <w:shd w:fill="CCEEFF" w:val="clear"/>
            <w:vAlign w:val="center"/>
          </w:tcPr>
          <w:p>
            <w:pPr>
              <w:pStyle w:val="TableContents"/>
              <w:bidi w:val="0"/>
              <w:spacing w:before="0" w:after="283"/>
              <w:jc w:val="right"/>
              <w:rPr/>
            </w:pPr>
            <w:r>
              <w:rPr/>
              <w:t>(5,727</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1904"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183</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904" w:type="dxa"/>
            <w:tcBorders/>
            <w:shd w:fill="CCEEFF" w:val="clear"/>
            <w:vAlign w:val="center"/>
          </w:tcPr>
          <w:p>
            <w:pPr>
              <w:pStyle w:val="TableContents"/>
              <w:bidi w:val="0"/>
              <w:spacing w:before="0" w:after="283"/>
              <w:jc w:val="left"/>
              <w:rPr/>
            </w:pPr>
            <w:r>
              <w:rPr/>
              <w:t>Stock option exercises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156</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904" w:type="dxa"/>
            <w:tcBorders/>
            <w:shd w:fill="FFFFFF" w:val="clear"/>
            <w:vAlign w:val="center"/>
          </w:tcPr>
          <w:p>
            <w:pPr>
              <w:pStyle w:val="TableContents"/>
              <w:bidi w:val="0"/>
              <w:spacing w:before="0" w:after="283"/>
              <w:jc w:val="left"/>
              <w:rPr/>
            </w:pPr>
            <w:r>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904"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(10</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1904" w:type="dxa"/>
            <w:tcBorders/>
            <w:shd w:fill="FFFFFF" w:val="clear"/>
            <w:vAlign w:val="center"/>
          </w:tcPr>
          <w:p>
            <w:pPr>
              <w:pStyle w:val="TableContents"/>
              <w:bidi w:val="0"/>
              <w:spacing w:before="0" w:after="283"/>
              <w:jc w:val="left"/>
              <w:rPr/>
            </w:pPr>
            <w:r>
              <w:rPr/>
              <w:t>Pre-funded warrant exercises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935,000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90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(3,412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(3,412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1904"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31,823,895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50,369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(59,212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(8,810</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1904"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807</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904" w:type="dxa"/>
            <w:tcBorders/>
            <w:shd w:fill="FFFFFF" w:val="clear"/>
            <w:vAlign w:val="center"/>
          </w:tcPr>
          <w:p>
            <w:pPr>
              <w:pStyle w:val="TableContents"/>
              <w:bidi w:val="0"/>
              <w:spacing w:before="0" w:after="283"/>
              <w:jc w:val="left"/>
              <w:rPr/>
            </w:pPr>
            <w:r>
              <w:rPr/>
              <w:t>Stock option exercises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24</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904" w:type="dxa"/>
            <w:tcBorders/>
            <w:shd w:fill="CCEEFF" w:val="clear"/>
            <w:vAlign w:val="center"/>
          </w:tcPr>
          <w:p>
            <w:pPr>
              <w:pStyle w:val="TableContents"/>
              <w:bidi w:val="0"/>
              <w:spacing w:before="0" w:after="283"/>
              <w:jc w:val="left"/>
              <w:rPr/>
            </w:pPr>
            <w:r>
              <w:rPr/>
              <w:t>Issuance of common stock under the SEPA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5</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1904" w:type="dxa"/>
            <w:tcBorders/>
            <w:shd w:fill="FFFFFF" w:val="clear"/>
            <w:vAlign w:val="center"/>
          </w:tcPr>
          <w:p>
            <w:pPr>
              <w:pStyle w:val="TableContents"/>
              <w:bidi w:val="0"/>
              <w:spacing w:before="0" w:after="283"/>
              <w:jc w:val="left"/>
              <w:rPr/>
            </w:pPr>
            <w:r>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309,700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904"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1904" w:type="dxa"/>
            <w:tcBorders/>
            <w:shd w:fill="FFFFFF" w:val="clear"/>
            <w:vAlign w:val="center"/>
          </w:tcPr>
          <w:p>
            <w:pPr>
              <w:pStyle w:val="TableContents"/>
              <w:bidi w:val="0"/>
              <w:spacing w:before="0" w:after="283"/>
              <w:jc w:val="left"/>
              <w:rPr/>
            </w:pPr>
            <w:r>
              <w:rPr/>
              <w:t>Warrant exercises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97</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190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(4,176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(4,176</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1904" w:type="dxa"/>
            <w:tcBorders/>
            <w:shd w:fill="FFFFFF" w:val="clear"/>
            <w:vAlign w:val="center"/>
          </w:tcPr>
          <w:p>
            <w:pPr>
              <w:pStyle w:val="TableContents"/>
              <w:bidi w:val="0"/>
              <w:spacing w:before="0" w:after="283"/>
              <w:jc w:val="left"/>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double" w:sz="10" w:space="0" w:color="000000"/>
            </w:tcBorders>
            <w:shd w:fill="FFFFFF" w:val="clear"/>
            <w:tcMar>
              <w:bottom w:w="28" w:type="dxa"/>
            </w:tcMar>
            <w:vAlign w:val="center"/>
          </w:tcPr>
          <w:p>
            <w:pPr>
              <w:pStyle w:val="TableContents"/>
              <w:bidi w:val="0"/>
              <w:spacing w:before="0" w:after="283"/>
              <w:jc w:val="right"/>
              <w:rPr/>
            </w:pPr>
            <w:r>
              <w:rPr/>
              <w:t>32,184,928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double" w:sz="10" w:space="0" w:color="000000"/>
            </w:tcBorders>
            <w:shd w:fill="FFFFFF" w:val="clear"/>
            <w:tcMar>
              <w:bottom w:w="28" w:type="dxa"/>
            </w:tcM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double" w:sz="10" w:space="0" w:color="000000"/>
            </w:tcBorders>
            <w:shd w:fill="FFFFFF" w:val="clear"/>
            <w:tcMar>
              <w:bottom w:w="28" w:type="dxa"/>
            </w:tcMar>
            <w:vAlign w:val="center"/>
          </w:tcPr>
          <w:p>
            <w:pPr>
              <w:pStyle w:val="TableContents"/>
              <w:bidi w:val="0"/>
              <w:spacing w:before="0" w:after="283"/>
              <w:jc w:val="right"/>
              <w:rPr/>
            </w:pPr>
            <w:r>
              <w:rPr/>
              <w:t>51,302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double" w:sz="10" w:space="0" w:color="000000"/>
            </w:tcBorders>
            <w:shd w:fill="FFFFFF" w:val="clear"/>
            <w:tcMar>
              <w:bottom w:w="28" w:type="dxa"/>
            </w:tcM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double" w:sz="10" w:space="0" w:color="000000"/>
            </w:tcBorders>
            <w:shd w:fill="FFFFFF" w:val="clear"/>
            <w:tcMar>
              <w:bottom w:w="28" w:type="dxa"/>
            </w:tcMar>
            <w:vAlign w:val="center"/>
          </w:tcPr>
          <w:p>
            <w:pPr>
              <w:pStyle w:val="TableContents"/>
              <w:bidi w:val="0"/>
              <w:spacing w:before="0" w:after="283"/>
              <w:jc w:val="right"/>
              <w:rPr/>
            </w:pPr>
            <w:r>
              <w:rPr/>
              <w:t>(63,388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10" w:space="0" w:color="000000"/>
            </w:tcBorders>
            <w:shd w:fill="FFFFFF" w:val="clear"/>
            <w:tcMar>
              <w:bottom w:w="28" w:type="dxa"/>
            </w:tcMar>
            <w:vAlign w:val="center"/>
          </w:tcPr>
          <w:p>
            <w:pPr>
              <w:pStyle w:val="TableContents"/>
              <w:bidi w:val="0"/>
              <w:spacing w:before="0" w:after="283"/>
              <w:jc w:val="right"/>
              <w:rPr/>
            </w:pPr>
            <w:r>
              <w:rPr/>
              <w:t>(12,054</w:t>
            </w:r>
          </w:p>
        </w:tc>
        <w:tc>
          <w:tcPr>
            <w:tcW w:w="113"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0"/>
        <w:gridCol w:w="60"/>
        <w:gridCol w:w="60"/>
        <w:gridCol w:w="1102"/>
        <w:gridCol w:w="60"/>
        <w:gridCol w:w="60"/>
        <w:gridCol w:w="430"/>
        <w:gridCol w:w="430"/>
        <w:gridCol w:w="60"/>
        <w:gridCol w:w="60"/>
        <w:gridCol w:w="187"/>
        <w:gridCol w:w="913"/>
        <w:gridCol w:w="60"/>
        <w:gridCol w:w="60"/>
        <w:gridCol w:w="709"/>
        <w:gridCol w:w="941"/>
        <w:gridCol w:w="60"/>
        <w:gridCol w:w="60"/>
        <w:gridCol w:w="214"/>
        <w:gridCol w:w="1156"/>
        <w:gridCol w:w="95"/>
        <w:gridCol w:w="60"/>
        <w:gridCol w:w="243"/>
        <w:gridCol w:w="1103"/>
        <w:gridCol w:w="112"/>
      </w:tblGrid>
      <w:tr>
        <w:trPr/>
        <w:tc>
          <w:tcPr>
            <w:tcW w:w="191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16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0" w:type="dxa"/>
            <w:gridSpan w:val="2"/>
            <w:tcBorders/>
            <w:vAlign w:val="center"/>
          </w:tcPr>
          <w:p>
            <w:pPr>
              <w:pStyle w:val="TableContents"/>
              <w:bidi w:val="0"/>
              <w:spacing w:before="0" w:after="283"/>
              <w:jc w:val="center"/>
              <w:rPr>
                <w:b/>
              </w:rPr>
            </w:pPr>
            <w:r>
              <w:rPr>
                <w:b/>
              </w:rPr>
              <w:t>Accumulated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ind w:left="0" w:right="0" w:hanging="180"/>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0"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center"/>
              <w:rPr>
                <w:b/>
              </w:rPr>
            </w:pPr>
            <w:r>
              <w:rPr>
                <w:b/>
              </w:rPr>
              <w:t>Stockholders’</w:t>
            </w:r>
          </w:p>
        </w:tc>
        <w:tc>
          <w:tcPr>
            <w:tcW w:w="112" w:type="dxa"/>
            <w:tcBorders/>
            <w:vAlign w:val="center"/>
          </w:tcPr>
          <w:p>
            <w:pPr>
              <w:pStyle w:val="TableContents"/>
              <w:bidi w:val="0"/>
              <w:spacing w:before="0" w:after="283"/>
              <w:ind w:left="0" w:right="0" w:hanging="180"/>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2" w:type="dxa"/>
            <w:tcBorders/>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22,594,877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40,973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(48,229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(7,251</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191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200</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pPr>
            <w:r>
              <w:rPr/>
              <w:t>Issuance of Common Stock from debt offering (net of $158K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2,028,846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377</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910" w:type="dxa"/>
            <w:tcBorders/>
            <w:shd w:fill="FFFFFF" w:val="clear"/>
            <w:vAlign w:val="center"/>
          </w:tcPr>
          <w:p>
            <w:pPr>
              <w:pStyle w:val="TableContents"/>
              <w:bidi w:val="0"/>
              <w:spacing w:before="0" w:after="283"/>
              <w:jc w:val="left"/>
              <w:rPr/>
            </w:pPr>
            <w:r>
              <w:rPr/>
              <w:t>Issuance of common stock to pay convertible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610,426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1,433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pPr>
            <w:r>
              <w:rPr/>
              <w:t>Sale of common stock (net of $19K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310,925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543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910"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43,047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158</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17</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91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2,897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2,897</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b/>
              </w:rPr>
            </w:pPr>
            <w:r>
              <w:rPr>
                <w:b/>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25,588,121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43,684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(45,332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(1,626</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191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411</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pPr>
            <w:r>
              <w:rPr/>
              <w:t>Issuance of common stock from debt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910" w:type="dxa"/>
            <w:tcBorders/>
            <w:shd w:fill="FFFFFF" w:val="clear"/>
            <w:vAlign w:val="center"/>
          </w:tcPr>
          <w:p>
            <w:pPr>
              <w:pStyle w:val="TableContents"/>
              <w:bidi w:val="0"/>
              <w:spacing w:before="0" w:after="283"/>
              <w:jc w:val="left"/>
              <w:rPr/>
            </w:pPr>
            <w:r>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109,699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910"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32</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9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(7,968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(7,968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1910"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double" w:sz="10" w:space="0" w:color="000000"/>
            </w:tcBorders>
            <w:shd w:fill="CCEEFF" w:val="clear"/>
            <w:tcMar>
              <w:bottom w:w="28" w:type="dxa"/>
            </w:tcMar>
            <w:vAlign w:val="center"/>
          </w:tcPr>
          <w:p>
            <w:pPr>
              <w:pStyle w:val="TableContents"/>
              <w:bidi w:val="0"/>
              <w:spacing w:before="0" w:after="283"/>
              <w:jc w:val="right"/>
              <w:rPr/>
            </w:pPr>
            <w:r>
              <w:rPr/>
              <w:t>25,737,820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pPr>
            <w:r>
              <w:rPr/>
              <w:t>44,095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double" w:sz="10" w:space="0" w:color="000000"/>
            </w:tcBorders>
            <w:shd w:fill="CCEEFF" w:val="clear"/>
            <w:tcMar>
              <w:bottom w:w="28" w:type="dxa"/>
            </w:tcM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pPr>
            <w:r>
              <w:rPr/>
              <w:t>(53,300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pPr>
            <w:r>
              <w:rPr/>
              <w:t>(9,151</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7" w:name="a_006"/>
      <w:bookmarkEnd w:id="7"/>
      <w:r>
        <w:rPr>
          <w:rFonts w:ascii="Times New Roman;Times;Serif" w:hAnsi="Times New Roman;Times;Serif"/>
          <w:b/>
          <w:i w:val="false"/>
          <w:caps w:val="false"/>
          <w:smallCaps w:val="false"/>
          <w:sz w:val="20"/>
        </w:rPr>
        <w:t>SPECTRAL AI,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076" w:type="dxa"/>
        <w:jc w:val="left"/>
        <w:tblInd w:w="0" w:type="dxa"/>
        <w:tblLayout w:type="fixed"/>
        <w:tblCellMar>
          <w:top w:w="0" w:type="dxa"/>
          <w:left w:w="0" w:type="dxa"/>
          <w:bottom w:w="0" w:type="dxa"/>
          <w:right w:w="0" w:type="dxa"/>
        </w:tblCellMar>
      </w:tblPr>
      <w:tblGrid>
        <w:gridCol w:w="8000"/>
        <w:gridCol w:w="60"/>
        <w:gridCol w:w="148"/>
        <w:gridCol w:w="723"/>
        <w:gridCol w:w="101"/>
        <w:gridCol w:w="63"/>
        <w:gridCol w:w="148"/>
        <w:gridCol w:w="723"/>
        <w:gridCol w:w="110"/>
      </w:tblGrid>
      <w:tr>
        <w:trPr/>
        <w:tc>
          <w:tcPr>
            <w:tcW w:w="800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ind w:left="0" w:right="0" w:hanging="180"/>
              <w:jc w:val="left"/>
              <w:rPr/>
            </w:pPr>
            <w:r>
              <w:rPr/>
              <w:t> </w:t>
            </w:r>
          </w:p>
        </w:tc>
      </w:tr>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800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(7,588</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(5,071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0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60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339</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120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990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611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298</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280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291</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1,196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Change in fair value of notes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(220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00" w:type="dxa"/>
            <w:tcBorders/>
            <w:shd w:fill="CCEEFF" w:val="clear"/>
            <w:vAlign w:val="center"/>
          </w:tcPr>
          <w:p>
            <w:pPr>
              <w:pStyle w:val="TableContents"/>
              <w:bidi w:val="0"/>
              <w:spacing w:before="0" w:after="283"/>
              <w:jc w:val="left"/>
              <w:rPr/>
            </w:pPr>
            <w:r>
              <w:rPr/>
              <w:t>Issuances of shares for borrowing related costs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86</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1,038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23</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0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327</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355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(239</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132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(1,285</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(2,049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0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(634</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(663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0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(133</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(536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0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pPr>
            <w:r>
              <w:rPr/>
              <w:t>(360</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pPr>
            <w:r>
              <w:rPr/>
              <w:t>(276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0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pPr>
            <w:r>
              <w:rPr/>
              <w:t>(7,825</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pPr>
            <w:r>
              <w:rPr/>
              <w:t>(4,867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0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Proceeds from issuance of common stock and warrants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5</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3,080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Proceeds from notes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6,500</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8,260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Payments for notes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(317</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(1,313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00" w:type="dxa"/>
            <w:tcBorders/>
            <w:shd w:fill="FFFFFF" w:val="clear"/>
            <w:vAlign w:val="center"/>
          </w:tcPr>
          <w:p>
            <w:pPr>
              <w:pStyle w:val="TableContents"/>
              <w:bidi w:val="0"/>
              <w:spacing w:before="0" w:after="283"/>
              <w:jc w:val="left"/>
              <w:rPr/>
            </w:pPr>
            <w:r>
              <w:rPr/>
              <w:t>Proceeds from warrant exercises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54</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Stock option exercises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pPr>
            <w:r>
              <w:rPr/>
              <w:t>158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pPr>
            <w:r>
              <w:rPr/>
              <w:t>6,422</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pPr>
            <w:r>
              <w:rPr/>
              <w:t>10,185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(1,414</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5,367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pPr>
            <w:r>
              <w:rPr/>
              <w:t>15,394</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pPr>
            <w:r>
              <w:rPr/>
              <w:t>5,157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FFFFFF" w:val="clear"/>
            <w:tcMar>
              <w:bottom w:w="28" w:type="dxa"/>
            </w:tcMar>
            <w:vAlign w:val="center"/>
          </w:tcPr>
          <w:p>
            <w:pPr>
              <w:pStyle w:val="TableContents"/>
              <w:bidi w:val="0"/>
              <w:spacing w:before="0" w:after="283"/>
              <w:jc w:val="right"/>
              <w:rPr/>
            </w:pPr>
            <w:r>
              <w:rPr/>
              <w:t>13,980</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FFFFFF" w:val="clear"/>
            <w:tcMar>
              <w:bottom w:w="28" w:type="dxa"/>
            </w:tcMar>
            <w:vAlign w:val="center"/>
          </w:tcPr>
          <w:p>
            <w:pPr>
              <w:pStyle w:val="TableContents"/>
              <w:bidi w:val="0"/>
              <w:spacing w:before="0" w:after="283"/>
              <w:jc w:val="right"/>
              <w:rPr/>
            </w:pPr>
            <w:r>
              <w:rPr/>
              <w:t>10,524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CCEEFF" w:val="clear"/>
            <w:tcMar>
              <w:bottom w:w="28" w:type="dxa"/>
            </w:tcMar>
            <w:vAlign w:val="center"/>
          </w:tcPr>
          <w:p>
            <w:pPr>
              <w:pStyle w:val="TableContents"/>
              <w:bidi w:val="0"/>
              <w:spacing w:before="0" w:after="283"/>
              <w:jc w:val="right"/>
              <w:rPr/>
            </w:pPr>
            <w:r>
              <w:rPr/>
              <w:t>587</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pPr>
            <w:r>
              <w:rPr/>
              <w:t>Cash paid for taxes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FFFFFF" w:val="clear"/>
            <w:tcMar>
              <w:bottom w:w="28" w:type="dxa"/>
            </w:tcMar>
            <w:vAlign w:val="center"/>
          </w:tcPr>
          <w:p>
            <w:pPr>
              <w:pStyle w:val="TableContents"/>
              <w:bidi w:val="0"/>
              <w:spacing w:before="0" w:after="283"/>
              <w:jc w:val="right"/>
              <w:rPr/>
            </w:pPr>
            <w:r>
              <w:rPr/>
              <w:t>44</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00" w:type="dxa"/>
            <w:tcBorders/>
            <w:shd w:fill="FFFFFF" w:val="clear"/>
            <w:vAlign w:val="center"/>
          </w:tcPr>
          <w:p>
            <w:pPr>
              <w:pStyle w:val="TableContents"/>
              <w:bidi w:val="0"/>
              <w:spacing w:before="0" w:after="283"/>
              <w:jc w:val="left"/>
              <w:rPr>
                <w:b/>
              </w:rPr>
            </w:pPr>
            <w:r>
              <w:rPr>
                <w:b/>
              </w:rPr>
              <w:t>Noncash investing and financing activities disclosure: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Tenant improvement allowance payments made by the lessor directly to a third party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(327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00" w:type="dxa"/>
            <w:tcBorders/>
            <w:shd w:fill="FFFFFF" w:val="clear"/>
            <w:vAlign w:val="center"/>
          </w:tcPr>
          <w:p>
            <w:pPr>
              <w:pStyle w:val="TableContents"/>
              <w:bidi w:val="0"/>
              <w:spacing w:before="0" w:after="283"/>
              <w:jc w:val="left"/>
              <w:rPr/>
            </w:pPr>
            <w:r>
              <w:rPr/>
              <w:t>Issuance of common stock to settle notes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723"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723" w:type="dxa"/>
            <w:tcBorders/>
            <w:shd w:fill="FFFFFF" w:val="clear"/>
            <w:vAlign w:val="center"/>
          </w:tcPr>
          <w:p>
            <w:pPr>
              <w:pStyle w:val="TableContents"/>
              <w:bidi w:val="0"/>
              <w:spacing w:before="0" w:after="283"/>
              <w:jc w:val="right"/>
              <w:rPr/>
            </w:pPr>
            <w:r>
              <w:rPr/>
              <w:t>1,192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SPECTRAL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 NATURE OF THE BUSINESS AND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Spectral AI, Inc., a Delaware corporation (the “Company”) is an Artificial Intelligence (“AI”) company focused on predictive medical diagnostics. Our DeepView</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System uses proprietary AI algorithms to distinguish between healthy, partially damaged and fully damaged human tissue characteristics invisible to the naked eye, at the initial time of wound presentation. The DeepView System delivers a binary prediction on the wound’s capacity to heal or not-heal by a specified time in the future. Our DeepView System’s output is specifically engineered to assist the physician in making a more accurate, timely and informed diagnostic decision regarding the treatment of the patient’s wounds. Our focus is on our burn indication.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our DeepView System, comprised of the multispectral imaging component integrated with the predictive AI-Burn</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software component, received United Kingdom Conformity Assessed (“UKCA”) marking for use in the United Kingdom for burn indications. In June 2025, we filed a De Novo application for the DeepView System with the United States Food and Drug Administration (“FDA”) so that it may achieve Class II medical device designation. On May 26, 2026, the FDA granted De Novo Classification for the DeepView System allowing the Company to commence commercial distribution activities in the United States.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the Medical Technology Enterprise Consortium (“MTEC”).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received substantial support from the U.S. government for our DeepView System’s application for burn wounds from BARDA. On September 27, 2023, the Company executed a new contract with BARDA, providing the Company with additional funding of up to approximately $150.0 million. This includes an initial award of approximately $54.9 million to support the clinical validation study and the distribution of up to 30 DeepView Systems in various burn centers and emergency departments to support the study and approximately another $95.1 million for further follow-on development and procurement activities related to the DeepView System. The funding also supported the Company’s FDA De Novo submission of our DeepView AI – Burn software, which was completed on June 30, 2025. In March 2026, BARDA exercised a portion of its contractual options under the contract, providing the Company with (i) a no-cost extension of the base phase of the contract from March 2026 to June 2026 and (ii) accelerated funding of approximately $31.7 million for further follow-on development and procurement activities related to the DeepView System. The contract continues to provide additional options, similar to our prior BARDA contracts, with an additional $63.4 million which can be exercised for additional product development, and the expanded procurement and deployment of DeepView Systems at emergency rooms, trauma and burn centers. As part of this funding advance, the Company has committed to fund $9.7 million of the total overall development costs associated with these feature advancements.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condensed consolidated financial statements have been prepared in conformity with U.S. generally accepted accounting principles (“GAAP”) as determined by the Financial Accounting Standards Board (“FASB”) Accounting Standards Codification (“ASC”) or an Accounting Standards Update (“ASU”).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consolidated financial statements should be read in conjunction with the financial statements and notes included in the Company’s audited consolidated financial statements as of and for the years ended December 31, 2025 and 2024. The condensed consolidated balance sheet as of December 31, 2025 included herein was derived from the audited consolidated financial statements as of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reflect all normal recurring adjustments necessary to present fairly the financial position, results of operations, and cash flows for the interim periods. The results for the six months ended June 30, 2026 are not necessarily indicative of the results to be expected for any subsequent quarter, the year ending December 31, 2026, or any other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April 1, 2026, the Company changed the presentation of certain costs on its condensed consolidated statement of operations. This voluntary change in classification of certain research and development and selling and marketing costs, resulted in a decrease in general and administrative expenses and offsetting increases in research and development and selling and marketing costs. Selling and marketing expense consists primarily of personnel-related costs associated with the Company’s commercial organization, allocated facilities costs, and commercialization readiness activities, including external consulting services, market access initiatives, and pricing studies. Refer to Note 4 for details of the composition of research and development expense. The Company believes this presentation is preferable as it will provide greater transparency regarding its operating expenses and aligns with how the business is managed.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reclassified the amortization of debt issuance costs from financing related costs to net interest expense on its condensed consolidated statement of operations. The reclassification increased net interest expense and decreased financing related costs by $120 thousand for both the three and six months ended June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changes in classification have been applied retrospectively to all periods presented. These changes in presentation had no impact to revenue, cost of revenue, loss from operations, income (loss) before income taxes, income tax provision (benefit), net income (loss), earnings (loss) per common share, or other components of equity or cash flows. In addition, other expense information disclosed in Note 12 – Segment Information was adjusted for these changes.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elsewhere in Note 2 under the heading “Recently adopted accounting pronouncements,” there have been no material changes to the Company’s significant accounting policies as described in the audited consolidated financial statements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wholly-owned subsidiaries, Spectral MD Holdings LLC, Spectral MD, Inc., Spectral MD UK Limited, and Spectral IP, Inc. (“Spectral IP”). Inter-company transactions and balances have been eliminated in consolidation.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condensed consolidated financial statements in conformity with GAAP requires management to make estimates and assumptions that affect the amounts reported in the condensed consolidated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revenue recognition (including the measure of progress of completion), warrant liabilities, the fair value of certain debt, stock-based compensation expense, stock issued for transaction costs, the net realizable value of inventory, right-of-use assets, and income tax valuation allowances. Actual results could differ from these estimates.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credit risk consist principally of cash and cash equivalents and accounts receivable. Primarily all cash and cash equivalents is held in US financial institutions which, at times, exceed federally insured limits. The Company has not recognized any losses from credit risks on such accounts. The Company believes it is not exposed to significant credit risk on cash and cash equivalents.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credit risk is related to the Company’s concentration of accounts receivable. As of June 30, 2026 and December 31, 2025, accounts receivable were concentrated from one customer (which is a U.S. government agency) representing approximately 96% and 100%, respectively, of the total accounts receivable. No allowance for expected credit losses was recorded as of June 30, 2026 and December 31, 2025.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customer (which is a U.S. government agency) accounted for 93% and 88% for the three and six months ended June 30, 2026 and 92% and 94% for the three and six months ended June 30, 2025 of the recognized research and development revenue.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number of risks common to development stage companies in the medical technology industry, including, but not limited to, risks of failure of preclinical studies and clinical trials, dependence on key personnel, protection of proprietary technology, reliance on third party organizations, risks of obtaining regulatory approval for any products that it may develop, development by competitors of technological innovations, compliance with government regulations and the need to obtain additional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had approximately $14.0 million and $15.4 million, respectively, in cash and cash equivalents, and an accumulated deficit of $63.4 million and $55.8 million, respectively. As of June 30, 2026 and December 31, 2025, the Company had approximately $14.9 million and $8.4 million, respectively, of debt outstanding of which $11.1 million and $5.5 million represented long-term debt as of such periods. The Company also had approximately $1.4 million of remaining undiscounted operating lease payments as of June 30, 2026, extending through February 2028. </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18, 2026, the Company received a contract modification from BARDA for the acceleration of $31.7 million from its existing contract with BARDA which included (i) a no-cost extension of the base phase of the contract, and (ii) the acceleration of certain parts of the next phase of such contract.  As part of this funding advance, the Company has committed to fund $9.7 million of the total overall development costs associated with these feature advancements.  This funding comes as part of an ongoing partnership with BARDA, which has committed $86.6 million to date under the contract with an overall value of approximately $150 million. </w:t>
      </w:r>
    </w:p>
    <w:p>
      <w:pPr>
        <w:pStyle w:val="TextBody"/>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based on our current operating plan, our cash and cash equivalents, together with commitments under the PBS BARDA Contract, and availability under the Yorkville SEPA, provide sufficient working capital to fund operations for at least one year beyond the release date of the condensed consolidated financial statements. Refer to Note 5 for the terms of the Company’s outstanding debt and Note 6 for details on the Company’s warrants.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this determination on assumptions that may prove to be wrong, and we could utilize our available capital resources sooner than we currently expect. Changing circumstances could also cause us to consume capital significantly faster than we currently anticipate, and we may need to raise capital sooner or in greater amounts than currently expected because of circumstances beyond our control. To the extent additional capital is necessary, there are no assurances that we will be able to raise additional capital on favorable terms or at all, and therefore we may not be able to execute our business plans and the continued work on indications beyond expanding our burn indication.  </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2.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Recently Adopted Accounting Standards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Measurement of Credit Losses for Accounts Receivable and Contract Assets, (“ASU 2025-05”) which provides a practical expedient to measure credit losses on accounts receivable and contract assets. The Company adopted this guidance prospectively in the three months ended March 31, 2026. The adoption of ASU 2025-05 did not have a material impact on the consolidated financial statements and related disclosures.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Recently Issued Accounting Standards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 October 2023, the FASB issued ASU 2023-06 Disclosure Improvements: Codification Amendments in Response to the SEC’s Disclosure Update and Simplification Initiative (“ASU 2023-06”), which modifies certain disclosure and presentation requirements of a variety of Topics in the Codification and is intended to both clarify or improve such requirements and align the requirements with the SEC’s regulations. The effective date for each amendment is the effective date of the removal of the related disclosure from Regulation S-X or Regulation S-K, with early adoption prohibited. The Company will apply the provisions prospectively as such provisions become effective and does not expect ASU 2023-06 to have a material impact on the consolidated financial statements.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Reporting Comprehensive Income- Expense Disaggregation Disclosures (Subtopic 220-40), requiring public business entities to disclose additional information about specific expense categories in the notes to financial statements at interim and annual reporting periods.  ASU 2024-03 is effective for fiscal years beginning after December 15, 2026, and interim reporting periods beginning after December 15, 2027, with early adoption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of adopting this guidance on its consolidated financial statements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RESEARCH AND DEVELOPMENT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 the Company’s revenues disaggregated by the major sources were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7946" w:type="dxa"/>
        <w:jc w:val="left"/>
        <w:tblInd w:w="0" w:type="dxa"/>
        <w:tblLayout w:type="fixed"/>
        <w:tblCellMar>
          <w:top w:w="0" w:type="dxa"/>
          <w:left w:w="0" w:type="dxa"/>
          <w:bottom w:w="0" w:type="dxa"/>
          <w:right w:w="0" w:type="dxa"/>
        </w:tblCellMar>
      </w:tblPr>
      <w:tblGrid>
        <w:gridCol w:w="3455"/>
        <w:gridCol w:w="60"/>
        <w:gridCol w:w="209"/>
        <w:gridCol w:w="836"/>
        <w:gridCol w:w="89"/>
        <w:gridCol w:w="89"/>
        <w:gridCol w:w="209"/>
        <w:gridCol w:w="836"/>
        <w:gridCol w:w="60"/>
        <w:gridCol w:w="60"/>
        <w:gridCol w:w="168"/>
        <w:gridCol w:w="672"/>
        <w:gridCol w:w="72"/>
        <w:gridCol w:w="72"/>
        <w:gridCol w:w="168"/>
        <w:gridCol w:w="816"/>
        <w:gridCol w:w="75"/>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BARDA</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3,279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4,649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672" w:type="dxa"/>
            <w:tcBorders/>
            <w:shd w:fill="CCEEFF" w:val="clear"/>
            <w:vAlign w:val="center"/>
          </w:tcPr>
          <w:p>
            <w:pPr>
              <w:pStyle w:val="TableContents"/>
              <w:bidi w:val="0"/>
              <w:spacing w:before="0" w:after="283"/>
              <w:jc w:val="right"/>
              <w:rPr/>
            </w:pPr>
            <w:r>
              <w:rPr/>
              <w:t>6,589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11,030</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Other U.S. governmental authorities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6" w:type="dxa"/>
            <w:tcBorders>
              <w:bottom w:val="single" w:sz="12" w:space="0" w:color="000000"/>
            </w:tcBorders>
            <w:shd w:fill="FFFFFF" w:val="clear"/>
            <w:tcMar>
              <w:bottom w:w="28" w:type="dxa"/>
            </w:tcMar>
            <w:vAlign w:val="center"/>
          </w:tcPr>
          <w:p>
            <w:pPr>
              <w:pStyle w:val="TableContents"/>
              <w:bidi w:val="0"/>
              <w:spacing w:before="0" w:after="283"/>
              <w:jc w:val="right"/>
              <w:rPr/>
            </w:pPr>
            <w:r>
              <w:rPr/>
              <w:t>245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6" w:type="dxa"/>
            <w:tcBorders>
              <w:bottom w:val="single" w:sz="12" w:space="0" w:color="000000"/>
            </w:tcBorders>
            <w:shd w:fill="FFFFFF" w:val="clear"/>
            <w:tcMar>
              <w:bottom w:w="28" w:type="dxa"/>
            </w:tcMar>
            <w:vAlign w:val="center"/>
          </w:tcPr>
          <w:p>
            <w:pPr>
              <w:pStyle w:val="TableContents"/>
              <w:bidi w:val="0"/>
              <w:spacing w:before="0" w:after="283"/>
              <w:jc w:val="right"/>
              <w:rPr/>
            </w:pPr>
            <w:r>
              <w:rPr/>
              <w:t>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12" w:space="0" w:color="000000"/>
            </w:tcBorders>
            <w:shd w:fill="FFFFFF" w:val="clear"/>
            <w:tcMar>
              <w:bottom w:w="28" w:type="dxa"/>
            </w:tcMar>
            <w:vAlign w:val="center"/>
          </w:tcPr>
          <w:p>
            <w:pPr>
              <w:pStyle w:val="TableContents"/>
              <w:bidi w:val="0"/>
              <w:spacing w:before="0" w:after="283"/>
              <w:jc w:val="right"/>
              <w:rPr/>
            </w:pPr>
            <w:r>
              <w:rPr/>
              <w:t>926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FFFFFF" w:val="clear"/>
            <w:tcMar>
              <w:bottom w:w="28" w:type="dxa"/>
            </w:tcMar>
            <w:vAlign w:val="center"/>
          </w:tcPr>
          <w:p>
            <w:pPr>
              <w:pStyle w:val="TableContents"/>
              <w:bidi w:val="0"/>
              <w:spacing w:before="0" w:after="283"/>
              <w:jc w:val="right"/>
              <w:rPr/>
            </w:pPr>
            <w:r>
              <w:rPr/>
              <w:t>742</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6" w:type="dxa"/>
            <w:tcBorders>
              <w:bottom w:val="double" w:sz="10" w:space="0" w:color="000000"/>
            </w:tcBorders>
            <w:shd w:fill="CCEEFF" w:val="clear"/>
            <w:tcMar>
              <w:bottom w:w="28" w:type="dxa"/>
            </w:tcMar>
            <w:vAlign w:val="center"/>
          </w:tcPr>
          <w:p>
            <w:pPr>
              <w:pStyle w:val="TableContents"/>
              <w:bidi w:val="0"/>
              <w:spacing w:before="0" w:after="283"/>
              <w:jc w:val="right"/>
              <w:rPr/>
            </w:pPr>
            <w:r>
              <w:rPr/>
              <w:t>3,524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6" w:type="dxa"/>
            <w:tcBorders>
              <w:bottom w:val="double" w:sz="10" w:space="0" w:color="000000"/>
            </w:tcBorders>
            <w:shd w:fill="CCEEFF" w:val="clear"/>
            <w:tcMar>
              <w:bottom w:w="28" w:type="dxa"/>
            </w:tcMar>
            <w:vAlign w:val="center"/>
          </w:tcPr>
          <w:p>
            <w:pPr>
              <w:pStyle w:val="TableContents"/>
              <w:bidi w:val="0"/>
              <w:spacing w:before="0" w:after="283"/>
              <w:jc w:val="right"/>
              <w:rPr/>
            </w:pPr>
            <w:r>
              <w:rPr/>
              <w:t>5,065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2" w:type="dxa"/>
            <w:tcBorders>
              <w:bottom w:val="double" w:sz="10" w:space="0" w:color="000000"/>
            </w:tcBorders>
            <w:shd w:fill="CCEEFF" w:val="clear"/>
            <w:tcMar>
              <w:bottom w:w="28" w:type="dxa"/>
            </w:tcMar>
            <w:vAlign w:val="center"/>
          </w:tcPr>
          <w:p>
            <w:pPr>
              <w:pStyle w:val="TableContents"/>
              <w:bidi w:val="0"/>
              <w:spacing w:before="0" w:after="283"/>
              <w:jc w:val="right"/>
              <w:rPr/>
            </w:pPr>
            <w:r>
              <w:rPr/>
              <w:t>7,515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6" w:type="dxa"/>
            <w:tcBorders>
              <w:bottom w:val="double" w:sz="10" w:space="0" w:color="000000"/>
            </w:tcBorders>
            <w:shd w:fill="CCEEFF" w:val="clear"/>
            <w:tcMar>
              <w:bottom w:w="28" w:type="dxa"/>
            </w:tcMar>
            <w:vAlign w:val="center"/>
          </w:tcPr>
          <w:p>
            <w:pPr>
              <w:pStyle w:val="TableContents"/>
              <w:bidi w:val="0"/>
              <w:spacing w:before="0" w:after="283"/>
              <w:jc w:val="right"/>
              <w:rPr/>
            </w:pPr>
            <w:r>
              <w:rPr/>
              <w:t>11,772</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Company’s contract liabilities during the six months ended June 30, 2026:</w:t>
      </w:r>
    </w:p>
    <w:p>
      <w:pPr>
        <w:pStyle w:val="TextBody"/>
        <w:shd w:fill="FFFFFF" w:val="clear"/>
        <w:bidi w:val="0"/>
        <w:spacing w:before="0" w:after="0"/>
        <w:ind w:left="0" w:right="0" w:firstLine="360"/>
        <w:jc w:val="left"/>
        <w:rPr>
          <w:caps w:val="false"/>
          <w:smallCaps w:val="false"/>
        </w:rPr>
      </w:pPr>
      <w:r>
        <w:rPr>
          <w:caps w:val="false"/>
          <w:smallCaps w:val="false"/>
        </w:rPr>
        <w:t> </w:t>
      </w:r>
    </w:p>
    <w:tbl>
      <w:tblPr>
        <w:tblW w:w="7408" w:type="dxa"/>
        <w:jc w:val="left"/>
        <w:tblInd w:w="0" w:type="dxa"/>
        <w:tblLayout w:type="fixed"/>
        <w:tblCellMar>
          <w:top w:w="0" w:type="dxa"/>
          <w:left w:w="0" w:type="dxa"/>
          <w:bottom w:w="0" w:type="dxa"/>
          <w:right w:w="0" w:type="dxa"/>
        </w:tblCellMar>
      </w:tblPr>
      <w:tblGrid>
        <w:gridCol w:w="2420"/>
        <w:gridCol w:w="60"/>
        <w:gridCol w:w="380"/>
        <w:gridCol w:w="1034"/>
        <w:gridCol w:w="60"/>
        <w:gridCol w:w="60"/>
        <w:gridCol w:w="353"/>
        <w:gridCol w:w="657"/>
        <w:gridCol w:w="60"/>
        <w:gridCol w:w="60"/>
        <w:gridCol w:w="272"/>
        <w:gridCol w:w="888"/>
        <w:gridCol w:w="95"/>
        <w:gridCol w:w="60"/>
        <w:gridCol w:w="305"/>
        <w:gridCol w:w="569"/>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b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Reductions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br/>
              <w:t>Balance</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3"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Contract liabilities: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7" w:type="dxa"/>
            <w:tcBorders>
              <w:bottom w:val="single" w:sz="12" w:space="0" w:color="000000"/>
            </w:tcBorders>
            <w:shd w:fill="CCEEFF" w:val="clear"/>
            <w:tcMar>
              <w:bottom w:w="28" w:type="dxa"/>
            </w:tcM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9"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b/>
              </w:rPr>
            </w:pPr>
            <w:r>
              <w:rPr>
                <w:b/>
              </w:rPr>
              <w:t>Total contract liabilities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FFFFFF" w:val="clear"/>
            <w:tcMar>
              <w:bottom w:w="28" w:type="dxa"/>
            </w:tcM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57" w:type="dxa"/>
            <w:tcBorders>
              <w:bottom w:val="double" w:sz="10" w:space="0" w:color="000000"/>
            </w:tcBorders>
            <w:shd w:fill="FFFFFF" w:val="clear"/>
            <w:tcMar>
              <w:bottom w:w="28" w:type="dxa"/>
            </w:tcMar>
            <w:vAlign w:val="center"/>
          </w:tcPr>
          <w:p>
            <w:pPr>
              <w:pStyle w:val="TableContents"/>
              <w:bidi w:val="0"/>
              <w:spacing w:before="0" w:after="283"/>
              <w:jc w:val="right"/>
              <w:rPr/>
            </w:pPr>
            <w:r>
              <w:rPr/>
              <w:t>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8" w:type="dxa"/>
            <w:tcBorders>
              <w:bottom w:val="double" w:sz="10" w:space="0" w:color="000000"/>
            </w:tcBorders>
            <w:shd w:fill="FFFFFF" w:val="clear"/>
            <w:tcMar>
              <w:bottom w:w="28" w:type="dxa"/>
            </w:tcMar>
            <w:vAlign w:val="center"/>
          </w:tcPr>
          <w:p>
            <w:pPr>
              <w:pStyle w:val="TableContents"/>
              <w:bidi w:val="0"/>
              <w:spacing w:before="0" w:after="283"/>
              <w:jc w:val="right"/>
              <w:rPr/>
            </w:pPr>
            <w:r>
              <w:rPr/>
              <w:t>(213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9" w:type="dxa"/>
            <w:tcBorders>
              <w:bottom w:val="double" w:sz="10" w:space="0" w:color="000000"/>
            </w:tcBorders>
            <w:shd w:fill="FFFFFF" w:val="clear"/>
            <w:tcMar>
              <w:bottom w:w="28" w:type="dxa"/>
            </w:tcMar>
            <w:vAlign w:val="center"/>
          </w:tcPr>
          <w:p>
            <w:pPr>
              <w:pStyle w:val="TableContents"/>
              <w:bidi w:val="0"/>
              <w:spacing w:before="0" w:after="283"/>
              <w:jc w:val="right"/>
              <w:rPr/>
            </w:pPr>
            <w:r>
              <w:rPr/>
              <w:t>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Unbilled revenue is included in other current assets in the condensed consolidated balance sheets. The following table presents the activity in the Company’s contract assets during the six months ended June 30, 2026:</w:t>
      </w:r>
    </w:p>
    <w:p>
      <w:pPr>
        <w:pStyle w:val="TextBody"/>
        <w:shd w:fill="FFFFFF" w:val="clear"/>
        <w:bidi w:val="0"/>
        <w:spacing w:before="0" w:after="0"/>
        <w:ind w:left="0" w:right="0" w:firstLine="360"/>
        <w:jc w:val="left"/>
        <w:rPr>
          <w:caps w:val="false"/>
          <w:smallCaps w:val="false"/>
        </w:rPr>
      </w:pPr>
      <w:r>
        <w:rPr>
          <w:caps w:val="false"/>
          <w:smallCaps w:val="false"/>
        </w:rPr>
        <w:t> </w:t>
      </w:r>
    </w:p>
    <w:tbl>
      <w:tblPr>
        <w:tblW w:w="7154" w:type="dxa"/>
        <w:jc w:val="left"/>
        <w:tblInd w:w="0" w:type="dxa"/>
        <w:tblLayout w:type="fixed"/>
        <w:tblCellMar>
          <w:top w:w="0" w:type="dxa"/>
          <w:left w:w="0" w:type="dxa"/>
          <w:bottom w:w="0" w:type="dxa"/>
          <w:right w:w="0" w:type="dxa"/>
        </w:tblCellMar>
      </w:tblPr>
      <w:tblGrid>
        <w:gridCol w:w="2105"/>
        <w:gridCol w:w="60"/>
        <w:gridCol w:w="397"/>
        <w:gridCol w:w="1077"/>
        <w:gridCol w:w="60"/>
        <w:gridCol w:w="60"/>
        <w:gridCol w:w="271"/>
        <w:gridCol w:w="739"/>
        <w:gridCol w:w="60"/>
        <w:gridCol w:w="60"/>
        <w:gridCol w:w="272"/>
        <w:gridCol w:w="888"/>
        <w:gridCol w:w="95"/>
        <w:gridCol w:w="60"/>
        <w:gridCol w:w="175"/>
        <w:gridCol w:w="700"/>
        <w:gridCol w:w="7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b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Reductions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br/>
              <w:t>Balance</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14"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Contract assets: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Unbilled revenue</w:t>
            </w:r>
          </w:p>
        </w:tc>
        <w:tc>
          <w:tcPr>
            <w:tcW w:w="60" w:type="dxa"/>
            <w:tcBorders/>
            <w:shd w:fill="CCEEFF" w:val="clear"/>
            <w:vAlign w:val="center"/>
          </w:tcPr>
          <w:p>
            <w:pPr>
              <w:pStyle w:val="TableContents"/>
              <w:bidi w:val="0"/>
              <w:spacing w:before="0" w:after="283"/>
              <w:jc w:val="left"/>
              <w:rPr/>
            </w:pPr>
            <w:r>
              <w:rPr/>
              <w:t> </w:t>
            </w:r>
          </w:p>
        </w:tc>
        <w:tc>
          <w:tcPr>
            <w:tcW w:w="39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39" w:type="dxa"/>
            <w:tcBorders>
              <w:bottom w:val="single" w:sz="12" w:space="0" w:color="000000"/>
            </w:tcBorders>
            <w:shd w:fill="CCEEFF" w:val="clear"/>
            <w:tcMar>
              <w:bottom w:w="28" w:type="dxa"/>
            </w:tcMar>
            <w:vAlign w:val="center"/>
          </w:tcPr>
          <w:p>
            <w:pPr>
              <w:pStyle w:val="TableContents"/>
              <w:bidi w:val="0"/>
              <w:spacing w:before="0" w:after="283"/>
              <w:jc w:val="right"/>
              <w:rPr/>
            </w:pPr>
            <w:r>
              <w:rPr/>
              <w:t>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88" w:type="dxa"/>
            <w:tcBorders>
              <w:bottom w:val="single" w:sz="12" w:space="0" w:color="000000"/>
            </w:tcBorders>
            <w:shd w:fill="CCEEFF" w:val="clear"/>
            <w:tcMar>
              <w:bottom w:w="28" w:type="dxa"/>
            </w:tcMar>
            <w:vAlign w:val="center"/>
          </w:tcPr>
          <w:p>
            <w:pPr>
              <w:pStyle w:val="TableContents"/>
              <w:bidi w:val="0"/>
              <w:spacing w:before="0" w:after="283"/>
              <w:jc w:val="right"/>
              <w:rPr/>
            </w:pPr>
            <w:r>
              <w:rPr/>
              <w:t>(496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1,075</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b/>
              </w:rPr>
            </w:pPr>
            <w:r>
              <w:rPr>
                <w:b/>
              </w:rPr>
              <w:t>Total contract assets</w:t>
            </w:r>
          </w:p>
        </w:tc>
        <w:tc>
          <w:tcPr>
            <w:tcW w:w="60" w:type="dxa"/>
            <w:tcBorders/>
            <w:shd w:fill="FFFFFF" w:val="clear"/>
            <w:vAlign w:val="center"/>
          </w:tcPr>
          <w:p>
            <w:pPr>
              <w:pStyle w:val="TableContents"/>
              <w:bidi w:val="0"/>
              <w:spacing w:before="0" w:after="283"/>
              <w:jc w:val="left"/>
              <w:rPr/>
            </w:pPr>
            <w:r>
              <w:rPr/>
              <w:t> </w:t>
            </w:r>
          </w:p>
        </w:tc>
        <w:tc>
          <w:tcPr>
            <w:tcW w:w="39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shd w:fill="FFFFFF" w:val="clear"/>
            <w:tcMar>
              <w:bottom w:w="28" w:type="dxa"/>
            </w:tcMar>
            <w:vAlign w:val="center"/>
          </w:tcPr>
          <w:p>
            <w:pPr>
              <w:pStyle w:val="TableContents"/>
              <w:bidi w:val="0"/>
              <w:spacing w:before="0" w:after="283"/>
              <w:jc w:val="right"/>
              <w:rPr/>
            </w:pPr>
            <w:r>
              <w:rPr/>
              <w:t>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39" w:type="dxa"/>
            <w:tcBorders>
              <w:bottom w:val="double" w:sz="10" w:space="0" w:color="000000"/>
            </w:tcBorders>
            <w:shd w:fill="FFFFFF" w:val="clear"/>
            <w:tcMar>
              <w:bottom w:w="28" w:type="dxa"/>
            </w:tcMar>
            <w:vAlign w:val="center"/>
          </w:tcPr>
          <w:p>
            <w:pPr>
              <w:pStyle w:val="TableContents"/>
              <w:bidi w:val="0"/>
              <w:spacing w:before="0" w:after="283"/>
              <w:jc w:val="right"/>
              <w:rPr/>
            </w:pPr>
            <w:r>
              <w:rPr/>
              <w:t>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8" w:type="dxa"/>
            <w:tcBorders>
              <w:bottom w:val="double" w:sz="10" w:space="0" w:color="000000"/>
            </w:tcBorders>
            <w:shd w:fill="FFFFFF" w:val="clear"/>
            <w:tcMar>
              <w:bottom w:w="28" w:type="dxa"/>
            </w:tcMar>
            <w:vAlign w:val="center"/>
          </w:tcPr>
          <w:p>
            <w:pPr>
              <w:pStyle w:val="TableContents"/>
              <w:bidi w:val="0"/>
              <w:spacing w:before="0" w:after="283"/>
              <w:jc w:val="right"/>
              <w:rPr/>
            </w:pPr>
            <w:r>
              <w:rPr/>
              <w:t>(496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1,075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18, 2026, the Company announced that it has received a contract modification from the Biomedical Advanced Research and Development Authority (BARDA) for the advancement of $31.7 million from its existing contract with BARDA which included (i) a no-cost extension of the base phase of the contract, and (ii) the acceleration of certain parts of the next phase of such contract. As part of this funding advance, the Company has committed to fund $9.7 million of the total overall development costs associated with these feature advancements. This funding comes as part of an ongoing partnership with BARDA, which has committed $86.6 million to date under the contract with an overall value of approximately $150 million. </w:t>
      </w:r>
    </w:p>
    <w:p>
      <w:pPr>
        <w:pStyle w:val="TextBody"/>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costs as incurred. These expenses include salaries for research and development personnel, consulting fees, product development, pre-clinical studies, clinical trial costs, and other fees and costs related to the development of our technology.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research and development expense was $4.1 million and $7.6 million, respectively, of which $2.4 million and $4.4 million, respectively, is related to the combined BARDA contract and contracts with other U.S. governmental authorities and included in cost of revenue and $1.7 million and $3.2 million, respectively, is included in research and development expenses. For the three and six months ended June 30, 2025, research and development expense was $4.2 million and $9.1 million, respectively, of which $2.7 million and $6.3 million, respectively, is related to the combined BARDA contract and contracts with other U.S. governmental authorities and included in cost of revenue and $1.5 million and $2.8 million, respectively, is included in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ACCRUED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consist of the following as of June 30, 2026 and December 31, 2025 (in thousands):</w:t>
      </w:r>
    </w:p>
    <w:p>
      <w:pPr>
        <w:pStyle w:val="TextBody"/>
        <w:bidi w:val="0"/>
        <w:spacing w:before="0" w:after="0"/>
        <w:ind w:left="0" w:right="0" w:firstLine="36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2390"/>
        <w:gridCol w:w="60"/>
        <w:gridCol w:w="175"/>
        <w:gridCol w:w="700"/>
        <w:gridCol w:w="60"/>
        <w:gridCol w:w="60"/>
        <w:gridCol w:w="283"/>
        <w:gridCol w:w="1132"/>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Salary and wages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1,762</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81</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Benefits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340</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Non-operating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60</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98</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b/>
              </w:rPr>
            </w:pPr>
            <w:r>
              <w:rPr>
                <w:b/>
              </w:rPr>
              <w:t>Total accrued expenses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1,708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2,341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NOTES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Avenue Financing (defined below) and financing arrangements for a portion of its Directors and Officers insurance premiums,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0"/>
        <w:gridCol w:w="60"/>
        <w:gridCol w:w="140"/>
        <w:gridCol w:w="920"/>
        <w:gridCol w:w="60"/>
        <w:gridCol w:w="60"/>
        <w:gridCol w:w="136"/>
        <w:gridCol w:w="1204"/>
        <w:gridCol w:w="215"/>
        <w:gridCol w:w="60"/>
        <w:gridCol w:w="181"/>
        <w:gridCol w:w="493"/>
        <w:gridCol w:w="77"/>
        <w:gridCol w:w="77"/>
        <w:gridCol w:w="181"/>
        <w:gridCol w:w="727"/>
        <w:gridCol w:w="60"/>
        <w:gridCol w:w="60"/>
        <w:gridCol w:w="153"/>
        <w:gridCol w:w="746"/>
        <w:gridCol w:w="104"/>
        <w:gridCol w:w="65"/>
        <w:gridCol w:w="248"/>
        <w:gridCol w:w="1132"/>
        <w:gridCol w:w="96"/>
      </w:tblGrid>
      <w:tr>
        <w:trPr/>
        <w:tc>
          <w:tcPr>
            <w:tcW w:w="2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Principal Repayments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Outstanding Balance</w:t>
            </w:r>
          </w:p>
        </w:tc>
        <w:tc>
          <w:tcPr>
            <w:tcW w:w="96" w:type="dxa"/>
            <w:tcBorders/>
            <w:vAlign w:val="center"/>
          </w:tcPr>
          <w:p>
            <w:pPr>
              <w:pStyle w:val="TableContents"/>
              <w:bidi w:val="0"/>
              <w:spacing w:before="0" w:after="283"/>
              <w:jc w:val="left"/>
              <w:rPr/>
            </w:pPr>
            <w:r>
              <w:rPr/>
              <w:t> </w:t>
            </w:r>
          </w:p>
        </w:tc>
      </w:tr>
      <w:tr>
        <w:trPr/>
        <w:tc>
          <w:tcPr>
            <w:tcW w:w="2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vAlign w:val="center"/>
          </w:tcPr>
          <w:p>
            <w:pPr>
              <w:pStyle w:val="TableContents"/>
              <w:bidi w:val="0"/>
              <w:spacing w:before="0" w:after="283"/>
              <w:jc w:val="center"/>
              <w:rPr>
                <w:b/>
              </w:rPr>
            </w:pPr>
            <w:r>
              <w:rPr>
                <w:b/>
              </w:rPr>
              <w:t>June 30</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center"/>
              <w:rPr>
                <w:b/>
              </w:rPr>
            </w:pPr>
            <w:r>
              <w:rPr>
                <w:b/>
              </w:rPr>
              <w:t>December 31,</w:t>
            </w:r>
          </w:p>
        </w:tc>
        <w:tc>
          <w:tcPr>
            <w:tcW w:w="96" w:type="dxa"/>
            <w:tcBorders/>
            <w:vAlign w:val="center"/>
          </w:tcPr>
          <w:p>
            <w:pPr>
              <w:pStyle w:val="TableContents"/>
              <w:bidi w:val="0"/>
              <w:spacing w:before="0" w:after="283"/>
              <w:jc w:val="left"/>
              <w:rPr/>
            </w:pPr>
            <w:r>
              <w:rPr/>
              <w:t> </w:t>
            </w:r>
          </w:p>
        </w:tc>
      </w:tr>
      <w:tr>
        <w:trPr/>
        <w:tc>
          <w:tcPr>
            <w:tcW w:w="2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Financed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 Rate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ind w:left="0" w:right="0" w:hanging="180"/>
              <w:jc w:val="left"/>
              <w:rPr/>
            </w:pPr>
            <w:r>
              <w:rPr/>
              <w:t> </w:t>
            </w:r>
          </w:p>
        </w:tc>
      </w:tr>
      <w:tr>
        <w:trPr/>
        <w:tc>
          <w:tcPr>
            <w:tcW w:w="2950" w:type="dxa"/>
            <w:tcBorders/>
            <w:shd w:fill="CCEEFF" w:val="clear"/>
            <w:vAlign w:val="center"/>
          </w:tcPr>
          <w:p>
            <w:pPr>
              <w:pStyle w:val="TableContents"/>
              <w:bidi w:val="0"/>
              <w:spacing w:before="0" w:after="283"/>
              <w:jc w:val="left"/>
              <w:rPr/>
            </w:pPr>
            <w:r>
              <w:rPr/>
              <w:t>Avenue Capital Note Principal and Final Payment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Prime + 5.25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jc w:val="right"/>
              <w:rPr/>
            </w:pPr>
            <w:r>
              <w:rPr/>
              <w:t>15,750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9,250</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2950" w:type="dxa"/>
            <w:tcBorders/>
            <w:shd w:fill="FFFFFF" w:val="clear"/>
            <w:vAlign w:val="center"/>
          </w:tcPr>
          <w:p>
            <w:pPr>
              <w:pStyle w:val="TableContents"/>
              <w:bidi w:val="0"/>
              <w:spacing w:before="0" w:after="283"/>
              <w:jc w:val="left"/>
              <w:rPr/>
            </w:pPr>
            <w:r>
              <w:rPr/>
              <w:t>Yorkville Convertible Notes,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r>
              <w:rPr/>
              <w:t>11,500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2,365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2950" w:type="dxa"/>
            <w:tcBorders/>
            <w:shd w:fill="CCEEFF" w:val="clear"/>
            <w:vAlign w:val="center"/>
          </w:tcPr>
          <w:p>
            <w:pPr>
              <w:pStyle w:val="TableContents"/>
              <w:bidi w:val="0"/>
              <w:spacing w:before="0" w:after="283"/>
              <w:jc w:val="left"/>
              <w:rPr/>
            </w:pPr>
            <w:r>
              <w:rPr/>
              <w:t>2025 Insurance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317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109</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426</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2950" w:type="dxa"/>
            <w:tcBorders/>
            <w:shd w:fill="FFFFFF" w:val="clear"/>
            <w:vAlign w:val="center"/>
          </w:tcPr>
          <w:p>
            <w:pPr>
              <w:pStyle w:val="TableContents"/>
              <w:bidi w:val="0"/>
              <w:spacing w:before="0" w:after="283"/>
              <w:jc w:val="left"/>
              <w:rPr/>
            </w:pPr>
            <w:r>
              <w:rPr/>
              <w:t>2024 Insurance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12" w:space="0" w:color="000000"/>
            </w:tcBorders>
            <w:shd w:fill="FFFFFF" w:val="clear"/>
            <w:tcMar>
              <w:bottom w:w="28" w:type="dxa"/>
            </w:tcMar>
            <w:vAlign w:val="center"/>
          </w:tcPr>
          <w:p>
            <w:pPr>
              <w:pStyle w:val="TableContents"/>
              <w:bidi w:val="0"/>
              <w:spacing w:before="0" w:after="283"/>
              <w:jc w:val="right"/>
              <w:rPr/>
            </w:pPr>
            <w:r>
              <w:rPr/>
              <w:t>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2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10" w:space="0" w:color="000000"/>
            </w:tcBorders>
            <w:shd w:fill="CCEEFF" w:val="clear"/>
            <w:tcMar>
              <w:bottom w:w="28" w:type="dxa"/>
            </w:tcMar>
            <w:vAlign w:val="center"/>
          </w:tcPr>
          <w:p>
            <w:pPr>
              <w:pStyle w:val="TableContents"/>
              <w:bidi w:val="0"/>
              <w:spacing w:before="0" w:after="283"/>
              <w:jc w:val="right"/>
              <w:rPr/>
            </w:pPr>
            <w:r>
              <w:rPr/>
              <w:t>317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7" w:type="dxa"/>
            <w:tcBorders>
              <w:bottom w:val="double" w:sz="10" w:space="0" w:color="000000"/>
            </w:tcBorders>
            <w:shd w:fill="CCEEFF" w:val="clear"/>
            <w:tcMar>
              <w:bottom w:w="28" w:type="dxa"/>
            </w:tcMar>
            <w:vAlign w:val="center"/>
          </w:tcPr>
          <w:p>
            <w:pPr>
              <w:pStyle w:val="TableContents"/>
              <w:bidi w:val="0"/>
              <w:spacing w:before="0" w:after="283"/>
              <w:jc w:val="right"/>
              <w:rPr/>
            </w:pPr>
            <w:r>
              <w:rPr/>
              <w:t>2,725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6" w:type="dxa"/>
            <w:tcBorders>
              <w:bottom w:val="double" w:sz="10" w:space="0" w:color="000000"/>
            </w:tcBorders>
            <w:shd w:fill="CCEEFF" w:val="clear"/>
            <w:tcMar>
              <w:bottom w:w="28" w:type="dxa"/>
            </w:tcMar>
            <w:vAlign w:val="center"/>
          </w:tcPr>
          <w:p>
            <w:pPr>
              <w:pStyle w:val="TableContents"/>
              <w:bidi w:val="0"/>
              <w:spacing w:before="0" w:after="283"/>
              <w:jc w:val="right"/>
              <w:rPr/>
            </w:pPr>
            <w:r>
              <w:rPr/>
              <w:t>15,859</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9,676</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2950" w:type="dxa"/>
            <w:tcBorders/>
            <w:shd w:fill="FFFFFF" w:val="clear"/>
            <w:vAlign w:val="center"/>
          </w:tcPr>
          <w:p>
            <w:pPr>
              <w:pStyle w:val="TableContents"/>
              <w:bidi w:val="0"/>
              <w:spacing w:before="0" w:after="283"/>
              <w:jc w:val="left"/>
              <w:rPr/>
            </w:pPr>
            <w:r>
              <w:rPr/>
              <w:t>Less: current portion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shd w:fill="FFFFFF" w:val="clear"/>
            <w:tcMar>
              <w:bottom w:w="28" w:type="dxa"/>
            </w:tcMar>
            <w:vAlign w:val="center"/>
          </w:tcPr>
          <w:p>
            <w:pPr>
              <w:pStyle w:val="TableContents"/>
              <w:bidi w:val="0"/>
              <w:spacing w:before="0" w:after="283"/>
              <w:jc w:val="right"/>
              <w:rPr/>
            </w:pPr>
            <w:r>
              <w:rPr/>
              <w:t>(3,859</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2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(2,854</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2950" w:type="dxa"/>
            <w:tcBorders/>
            <w:shd w:fill="CCEEFF" w:val="clear"/>
            <w:vAlign w:val="center"/>
          </w:tcPr>
          <w:p>
            <w:pPr>
              <w:pStyle w:val="TableContents"/>
              <w:bidi w:val="0"/>
              <w:spacing w:before="0" w:after="283"/>
              <w:jc w:val="left"/>
              <w:rPr/>
            </w:pPr>
            <w:r>
              <w:rPr/>
              <w:t>Unamortized debt discounts and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center"/>
          </w:tcPr>
          <w:p>
            <w:pPr>
              <w:pStyle w:val="TableContents"/>
              <w:bidi w:val="0"/>
              <w:spacing w:before="0" w:after="283"/>
              <w:jc w:val="right"/>
              <w:rPr/>
            </w:pPr>
            <w:r>
              <w:rPr/>
              <w:t>(945</w:t>
            </w:r>
          </w:p>
        </w:tc>
        <w:tc>
          <w:tcPr>
            <w:tcW w:w="10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(1,284</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2950" w:type="dxa"/>
            <w:tcBorders/>
            <w:shd w:fill="FFFFFF" w:val="clear"/>
            <w:vAlign w:val="center"/>
          </w:tcPr>
          <w:p>
            <w:pPr>
              <w:pStyle w:val="TableContents"/>
              <w:bidi w:val="0"/>
              <w:spacing w:before="0" w:after="283"/>
              <w:jc w:val="left"/>
              <w:rPr/>
            </w:pPr>
            <w:r>
              <w:rPr/>
              <w:t>Notes payable. long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46" w:type="dxa"/>
            <w:tcBorders>
              <w:bottom w:val="double" w:sz="10" w:space="0" w:color="000000"/>
            </w:tcBorders>
            <w:shd w:fill="FFFFFF" w:val="clear"/>
            <w:tcMar>
              <w:bottom w:w="28" w:type="dxa"/>
            </w:tcMar>
            <w:vAlign w:val="center"/>
          </w:tcPr>
          <w:p>
            <w:pPr>
              <w:pStyle w:val="TableContents"/>
              <w:bidi w:val="0"/>
              <w:spacing w:before="0" w:after="283"/>
              <w:jc w:val="right"/>
              <w:rPr/>
            </w:pPr>
            <w:r>
              <w:rPr/>
              <w:t>11,055</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5,538</w:t>
            </w:r>
          </w:p>
        </w:tc>
        <w:tc>
          <w:tcPr>
            <w:tcW w:w="9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Avenue Capital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24, 2025, the Company completed the Avenue Financing, with an initial draw-down of $8.5 million.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 of the financing with Avenue Capital Group (the “Avenue Financing”) is for three years, with an interest-only payment period of no less than 15 months, which was extended to 24 months upon the Company’s achievement of the milestones for the second financing tranche during the three months ended June 30, 2026. The second financing tranche, which includes an additional $6.5 million in debt financing from Avenue Capital Group is contingent upon; (i) FDA clearance of the DeepView System and (ii) the Company completing a $7.0 million equity raise. The borrowings under the Avenue Financing accrue interest at a variable amount per annum equal to the greater of (i) the sum of (A) the Prime Rate plus (B) 5.25%, and (ii) 12.75%, and they mature on March 1, 2028 (the “Maturity Date”). In addition, on the Maturity Date a final payment of $0.8 million is due to Avenue Capital Group and is accrued as debt as of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$2.0 million of the borrowings under the Avenue Financing are convertible at the lender’s option, into a number of shares of common stock at a price per share equal to 120% of the exercise price of the Avenue Warrants discussed below. Pursuant to the guidance in ASC 815-40, Contracts in Entity’s Own Equity, the Company evaluated whether the conversion feature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Accordingly, the conversion option is not required to be bifurcated from the host instrument as a derivative.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Avenue Financing the Company issued 768,072 warrants to Avenue Capital Group which was equal to 8.5% of the total funding commitment. The Avenue Warrants have an exercise price equal to $1.66 per share, see Note 6.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drew down the second financing tranche under the Avenue Financing following the achievement of the required funding conditions. The Company received net proceeds of approximately $6.5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 of Yorkville Convertible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paid the remaining $2.4 million of the Yorkville Convertible Notes of which $1.2 million was settled in cash and $1.2 million was settled in shares of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carrying amounts of all of the insurance notes approximate fair value due to the short-term nature of borrowings and current market rates of interest.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WARRANT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in conjunction with the business combination with Rosecliff Acquisition Corp I (the “Business Combination”), the Company assumed the public warrants which had an exercise price of $11.50 per share, are exercisable 30 days after the Business Combination and expire five years after the Business Combination or upon redemption (the “Public Warrants”). In November 2024, the Company amended the Public Warrants to have an exercise price of $2.75 per share. As of June 30, 2026, there are 8,433,333 Public Warrants outstanding. Each warrant entitles the registered holder to purchase one share of Common Stock at an exercise price of $2.75 per full share. The Company maintains a redemption right with respect to the Public Warrants in that the Company can redeem some or all of the Public Warrants for $0.10 per Public Warrant based on certain market conditions and the market price of the Company Common Stock.</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Company issued 73,978 warrants, with a strike price of $7.32 and a five-year life, to SP Angel Corporate Finance LLP (“SP Angel”), who acted as nominated adviser and broker to the Company for the purposes of the AIM Rules relating to the London Stock Market (the “Angel Warrants”). In conjunction with the Business Combination, the Angel Warrants were converted into warrants to purchase Common Stock based on the exchange ratio as set forth in the Business Combination agreements. As of June 30, 2026, there are 77,017 Angel Warrants to purchase Common Stock outstanding. In December 2025, SP Angel was issued 3,039 additional Angel Warrants due to an anti-dilution right that was implicated in a Qualifying Financing (as defined in the warrant agreement). The Hudson Bay transaction, which closed in October 2025, qualified as a Qualifying Financing. Following the adjustment, 77,017 Angel Warrants were outstanding.</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Investor Warrants:</w:t>
      </w:r>
      <w:r>
        <w:rPr>
          <w:rFonts w:ascii="Times New Roman;Times;Serif" w:hAnsi="Times New Roman;Times;Serif"/>
          <w:b w:val="false"/>
          <w:i w:val="false"/>
          <w:caps w:val="false"/>
          <w:smallCaps w:val="false"/>
          <w:sz w:val="20"/>
        </w:rPr>
        <w:t xml:space="preserve"> On March 21, 2025, the Company entered into the purchase agreements with certain stockholders for the sale of an aggregate of 2,068,846 shares of Common Stock, at an offering price of $1.30 per Share (the “Purchase Agreements”). In a concurrent private placement pursuant to the Purchase Agreements, the Company agreed to sell to the investors an aggregate of 2,068,846 warrants to purchase shares of Common Stock at an exercise price of $1.80 per share (the “Investor Warrants”). The Investor Warrants, along with the shares of Common Stock issuable upon the exercise of the Investor Warrants, were offered pursuant to the exemptions provided in Section 4(a)(2) under the Securities Act of 1933, as amended (the “Securities Act”). No consideration was received by the Company for the issuance of the Investor Warrants.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1,403,846 Investor Warrants were exercised. The warrants were remeasured to fair value immediately prior to exercise and the carrying amount of the warrant liability was derecognized and reclassified to additional paid-in-capital. Any proceeds received from exercise were recognized in stockholders’ equity. The exercise of warrants resulted in an increase to stockholders’ equity of $4.7 million. For the six months ended June 30, 2026, 30,000 Investor Warrants were exercised. As of June 30, 2026, there were 635,000 Investor Warrants to purchase Common Stock outstanding.</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Avenue Warrants:</w:t>
      </w:r>
      <w:r>
        <w:rPr>
          <w:rFonts w:ascii="Times New Roman;Times;Serif" w:hAnsi="Times New Roman;Times;Serif"/>
          <w:b w:val="false"/>
          <w:i w:val="false"/>
          <w:caps w:val="false"/>
          <w:smallCaps w:val="false"/>
          <w:sz w:val="20"/>
        </w:rPr>
        <w:t xml:space="preserve"> On March 24, 2025, the Company completed the Avenue Financing, with an initial draw-down of $8.5 million. As part of the Avenue Financing, the Company issued 768,072 warrants to Avenue Capital Group which was equal to 8.5% of the total funding commitment (the “Avenue Warrants”). As of June 30, 2026, the Avenue Warrants have an exercise price equal to $1.66 per share. The Avenue Warrants were determined to be classified as a liability instrument as certain terms preclude them from being considered indexed to the Company’s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768,072 Avenue Warrants to purchase Common Stock outstanding.</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Hudson Warrants</w:t>
      </w:r>
      <w:r>
        <w:rPr>
          <w:rFonts w:ascii="Times New Roman;Times;Serif" w:hAnsi="Times New Roman;Times;Serif"/>
          <w:b w:val="false"/>
          <w:i w:val="false"/>
          <w:caps w:val="false"/>
          <w:smallCaps w:val="false"/>
          <w:sz w:val="20"/>
        </w:rPr>
        <w:t>: On October 22, 2025, the Company entered into a securities purchase agreement with a certain investor for the sale of 3,065,000 shares of Common Stock, at an offering price of $1.90 per Share. In a concurrent private placement pursuant to the purchase agreement, the Company agreed to sell to the investor (i) warrants (the “Hudson Warrants”) to purchase up to 4,000,000 shares of Common Stock, and (ii) pre-funded warrants (the “Pre-Funded Warrants”) to purchase up to 935,000 shares of Common Stock. Each Hudson Warrant has an exercise price per share of $2.51 and became exercisable on May 29, 2026, as the Company obtained stockholder approval at its annual meeting for the issuance of shares of Common Stock underlying the Hudon Warrants and Pre-Funded Warrants. Each Pre-Funded Warrant has a purchase price of $1.8999, an exercise price per share of $0.0001, is exercisable immediately and may be exercised at any time until such Pre-Funded Warrant is exercised in full. The Hudson Warrants and the Pre-Funded Warrants, along with the shares of Common Stock issuable upon the exercise of the warrants, are being offered pursuant to the exemptions provided in Section 4(a)(2) under the Securities Act of 1933, as amended.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935,000 Pre-Funded Warrants were exercised, at an exercise price per share of $0.0001. As of June 30, 2026, there were no Pre-Funded Warrants outstanding and 4,000,000 Hudson Warrants to purchase Common Stock outstanding.</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Public Warrants, Angel Warrants, Investor Warrants, Avenue Warrants and Hudson Warrants as derivative liabilities. Accordingly, the Company recognizes the instruments as liabilities at fair value, and adjusts the instruments to fair value at the end of each reporting period. The liabilities are subject to re-measurement at each balance sheet date until exercised, redeemed or expired, and any change in fair value is recognized in the Company’s consolidated statements of operations within other income (expense).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liabilities that are measured at fair value on a recurring basis as of June 30, 2026 and December 31, 2025, by level within the fair value hierarchy (in thousands):</w:t>
      </w:r>
    </w:p>
    <w:p>
      <w:pPr>
        <w:pStyle w:val="TextBody"/>
        <w:bidi w:val="0"/>
        <w:spacing w:before="0" w:after="0"/>
        <w:ind w:left="0" w:right="0" w:firstLine="360"/>
        <w:jc w:val="both"/>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1700"/>
        <w:gridCol w:w="60"/>
        <w:gridCol w:w="223"/>
        <w:gridCol w:w="1086"/>
        <w:gridCol w:w="85"/>
        <w:gridCol w:w="85"/>
        <w:gridCol w:w="87"/>
        <w:gridCol w:w="817"/>
        <w:gridCol w:w="85"/>
        <w:gridCol w:w="85"/>
        <w:gridCol w:w="154"/>
        <w:gridCol w:w="1021"/>
        <w:gridCol w:w="85"/>
        <w:gridCol w:w="85"/>
        <w:gridCol w:w="131"/>
        <w:gridCol w:w="1269"/>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measured as of June 30, 2026</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Quoted</w:t>
              <w:br/>
              <w:t>prices</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Significant</w:t>
              <w:br/>
              <w:t>other</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Significant</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 at</w:t>
              <w:br/>
              <w:t>June 30,</w:t>
              <w:br/>
              <w:t>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active</w:t>
              <w:br/>
              <w:t>markets</w:t>
              <w:br/>
              <w:t>(Level 1)</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observable </w:t>
              <w:br/>
              <w:t>inputs</w:t>
              <w:br/>
              <w:t>(Level 2)</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unobservable</w:t>
              <w:br/>
              <w:t>inputs</w:t>
              <w:br/>
              <w:t>(Level 3)</w:t>
            </w:r>
          </w:p>
        </w:tc>
      </w:tr>
      <w:tr>
        <w:trPr/>
        <w:tc>
          <w:tcPr>
            <w:tcW w:w="170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6" w:type="dxa"/>
            <w:tcBorders>
              <w:bottom w:val="double" w:sz="10" w:space="0" w:color="000000"/>
            </w:tcBorders>
            <w:shd w:fill="CCEEFF" w:val="clear"/>
            <w:tcMar>
              <w:bottom w:w="28" w:type="dxa"/>
            </w:tcMar>
            <w:vAlign w:val="center"/>
          </w:tcPr>
          <w:p>
            <w:pPr>
              <w:pStyle w:val="TableContents"/>
              <w:bidi w:val="0"/>
              <w:spacing w:before="0" w:after="283"/>
              <w:jc w:val="right"/>
              <w:rPr/>
            </w:pPr>
            <w:r>
              <w:rPr/>
              <w:t>11,780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shd w:fill="CCEEFF" w:val="clear"/>
            <w:tcMar>
              <w:bottom w:w="28" w:type="dxa"/>
            </w:tcMar>
            <w:vAlign w:val="center"/>
          </w:tcPr>
          <w:p>
            <w:pPr>
              <w:pStyle w:val="TableContents"/>
              <w:bidi w:val="0"/>
              <w:spacing w:before="0" w:after="283"/>
              <w:jc w:val="right"/>
              <w:rPr/>
            </w:pPr>
            <w:r>
              <w:rPr/>
              <w:t>4,680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7,100</w:t>
            </w:r>
          </w:p>
        </w:tc>
      </w:tr>
    </w:tbl>
    <w:p>
      <w:pPr>
        <w:pStyle w:val="TextBody"/>
        <w:bidi w:val="0"/>
        <w:spacing w:before="0" w:after="0"/>
        <w:ind w:left="0" w:right="0" w:hanging="0"/>
        <w:jc w:val="left"/>
        <w:rPr>
          <w:caps w:val="false"/>
          <w:smallCaps w:val="false"/>
        </w:rPr>
      </w:pPr>
      <w:r>
        <w:rPr>
          <w:caps w:val="false"/>
          <w:smallCaps w:val="false"/>
        </w:rPr>
        <w:t> </w:t>
      </w:r>
    </w:p>
    <w:tbl>
      <w:tblPr>
        <w:tblW w:w="7354" w:type="dxa"/>
        <w:jc w:val="left"/>
        <w:tblInd w:w="0" w:type="dxa"/>
        <w:tblLayout w:type="fixed"/>
        <w:tblCellMar>
          <w:top w:w="0" w:type="dxa"/>
          <w:left w:w="0" w:type="dxa"/>
          <w:bottom w:w="0" w:type="dxa"/>
          <w:right w:w="0" w:type="dxa"/>
        </w:tblCellMar>
      </w:tblPr>
      <w:tblGrid>
        <w:gridCol w:w="1700"/>
        <w:gridCol w:w="60"/>
        <w:gridCol w:w="251"/>
        <w:gridCol w:w="1223"/>
        <w:gridCol w:w="70"/>
        <w:gridCol w:w="70"/>
        <w:gridCol w:w="190"/>
        <w:gridCol w:w="714"/>
        <w:gridCol w:w="70"/>
        <w:gridCol w:w="70"/>
        <w:gridCol w:w="163"/>
        <w:gridCol w:w="1233"/>
        <w:gridCol w:w="70"/>
        <w:gridCol w:w="70"/>
        <w:gridCol w:w="218"/>
        <w:gridCol w:w="1182"/>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measured as of December 31, 2025</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Quoted</w:t>
              <w:br/>
              <w:t>prices</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center"/>
              <w:rPr>
                <w:b/>
              </w:rPr>
            </w:pPr>
            <w:r>
              <w:rPr>
                <w:b/>
              </w:rPr>
              <w:t xml:space="preserve">Significant </w:t>
              <w:br/>
              <w:t>other</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Significant</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 at</w:t>
              <w:br/>
              <w:t xml:space="preserve">December 31, </w:t>
              <w:b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active</w:t>
              <w:br/>
              <w:t>markets</w:t>
              <w:br/>
              <w:t>(Level 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observable</w:t>
              <w:br/>
              <w:t>inputs</w:t>
              <w:br/>
              <w:t>(Level 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unobservable</w:t>
              <w:br/>
              <w:t>inputs</w:t>
              <w:br/>
              <w:t>(Level 3)</w:t>
            </w:r>
          </w:p>
        </w:tc>
      </w:tr>
      <w:tr>
        <w:trPr/>
        <w:tc>
          <w:tcPr>
            <w:tcW w:w="170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CCEEFF" w:val="clear"/>
            <w:tcMar>
              <w:bottom w:w="28" w:type="dxa"/>
            </w:tcMar>
            <w:vAlign w:val="center"/>
          </w:tcPr>
          <w:p>
            <w:pPr>
              <w:pStyle w:val="TableContents"/>
              <w:bidi w:val="0"/>
              <w:spacing w:before="0" w:after="283"/>
              <w:jc w:val="right"/>
              <w:rPr/>
            </w:pPr>
            <w:r>
              <w:rPr/>
              <w:t>11,533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CCEEFF" w:val="clear"/>
            <w:tcMar>
              <w:bottom w:w="28" w:type="dxa"/>
            </w:tcMar>
            <w:vAlign w:val="center"/>
          </w:tcPr>
          <w:p>
            <w:pPr>
              <w:pStyle w:val="TableContents"/>
              <w:bidi w:val="0"/>
              <w:spacing w:before="0" w:after="283"/>
              <w:jc w:val="right"/>
              <w:rPr/>
            </w:pPr>
            <w:r>
              <w:rPr/>
              <w:t>3,795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7,738</w:t>
            </w:r>
          </w:p>
        </w:tc>
      </w:tr>
    </w:tbl>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Level 1, 2 or 3 during the six months ended June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values of cash and cash equivalents, accounts receivable, accounts payable, accrued expenses, and short-term debt are carried at cost, which management believes approximates fair value due to the short-term nature of these instruments. The fair value of the Public Warrants, which trade in active markets, is based on quoted market prices and classified in Level 1 of the fair value hierarchy. The Angel Warrants, Avenue Warrants, Investor Warrants, and Hudson Warrants are classified within Level 3 of the fair value hierarchy because their fair values are based on significant inputs that are unobservable in the market.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Angel Warrants and Avenue Warrants at June 30, 2026 were estimated using a Black-Scholes option pricing model. The fair value of the Investor Warrants and Hudson Warrants were estimated using a simulation model.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Level 3 liabilities measured at fair value for the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3500" w:type="dxa"/>
        <w:jc w:val="left"/>
        <w:tblInd w:w="0" w:type="dxa"/>
        <w:tblLayout w:type="fixed"/>
        <w:tblCellMar>
          <w:top w:w="0" w:type="dxa"/>
          <w:left w:w="0" w:type="dxa"/>
          <w:bottom w:w="0" w:type="dxa"/>
          <w:right w:w="0" w:type="dxa"/>
        </w:tblCellMar>
      </w:tblPr>
      <w:tblGrid>
        <w:gridCol w:w="2630"/>
        <w:gridCol w:w="60"/>
        <w:gridCol w:w="140"/>
        <w:gridCol w:w="560"/>
        <w:gridCol w:w="110"/>
      </w:tblGrid>
      <w:tr>
        <w:trPr/>
        <w:tc>
          <w:tcPr>
            <w:tcW w:w="2630" w:type="dxa"/>
            <w:tcBorders/>
            <w:shd w:fill="CCEEFF" w:val="clear"/>
            <w:vAlign w:val="center"/>
          </w:tcPr>
          <w:p>
            <w:pPr>
              <w:pStyle w:val="TableContents"/>
              <w:bidi w:val="0"/>
              <w:spacing w:before="0" w:after="283"/>
              <w:jc w:val="left"/>
              <w:rPr/>
            </w:pPr>
            <w:r>
              <w:rPr/>
              <w:t>Balance -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41</w:t>
            </w:r>
          </w:p>
        </w:tc>
        <w:tc>
          <w:tcPr>
            <w:tcW w:w="11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Fair value at issuance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2,908</w:t>
            </w:r>
          </w:p>
        </w:tc>
        <w:tc>
          <w:tcPr>
            <w:tcW w:w="11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p>
        </w:tc>
      </w:tr>
      <w:tr>
        <w:trPr/>
        <w:tc>
          <w:tcPr>
            <w:tcW w:w="2630" w:type="dxa"/>
            <w:tcBorders/>
            <w:shd w:fill="FFFFFF" w:val="clear"/>
            <w:vAlign w:val="center"/>
          </w:tcPr>
          <w:p>
            <w:pPr>
              <w:pStyle w:val="TableContents"/>
              <w:bidi w:val="0"/>
              <w:spacing w:before="0" w:after="283"/>
              <w:jc w:val="left"/>
              <w:rPr>
                <w:b/>
              </w:rPr>
            </w:pPr>
            <w:r>
              <w:rPr>
                <w:b/>
              </w:rPr>
              <w:t>Balance -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2,912</w:t>
            </w:r>
          </w:p>
        </w:tc>
        <w:tc>
          <w:tcPr>
            <w:tcW w:w="11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1,739</w:t>
            </w:r>
          </w:p>
        </w:tc>
        <w:tc>
          <w:tcPr>
            <w:tcW w:w="11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b/>
              </w:rPr>
            </w:pPr>
            <w:r>
              <w:rPr>
                <w:b/>
              </w:rPr>
              <w:t>Balance - June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4,651</w:t>
            </w:r>
          </w:p>
        </w:tc>
        <w:tc>
          <w:tcPr>
            <w:tcW w:w="110" w:type="dxa"/>
            <w:tcBorders/>
            <w:shd w:fill="FFFFFF" w:val="clear"/>
            <w:vAlign w:val="center"/>
          </w:tcPr>
          <w:p>
            <w:pPr>
              <w:pStyle w:val="TableContents"/>
              <w:bidi w:val="0"/>
              <w:spacing w:before="0" w:after="283"/>
              <w:jc w:val="left"/>
              <w:rPr/>
            </w:pPr>
            <w:r>
              <w:rPr/>
              <w:t> </w:t>
            </w:r>
          </w:p>
        </w:tc>
      </w:tr>
    </w:tbl>
    <w:tbl>
      <w:tblPr>
        <w:tblW w:w="3500" w:type="dxa"/>
        <w:jc w:val="left"/>
        <w:tblInd w:w="0" w:type="dxa"/>
        <w:tblLayout w:type="fixed"/>
        <w:tblCellMar>
          <w:top w:w="0" w:type="dxa"/>
          <w:left w:w="0" w:type="dxa"/>
          <w:bottom w:w="0" w:type="dxa"/>
          <w:right w:w="0" w:type="dxa"/>
        </w:tblCellMar>
      </w:tblPr>
      <w:tblGrid>
        <w:gridCol w:w="2630"/>
        <w:gridCol w:w="60"/>
        <w:gridCol w:w="140"/>
        <w:gridCol w:w="560"/>
        <w:gridCol w:w="110"/>
      </w:tblGrid>
      <w:tr>
        <w:trPr/>
        <w:tc>
          <w:tcPr>
            <w:tcW w:w="2630" w:type="dxa"/>
            <w:tcBorders/>
            <w:shd w:fill="CCEEFF" w:val="clear"/>
            <w:vAlign w:val="center"/>
          </w:tcPr>
          <w:p>
            <w:pPr>
              <w:pStyle w:val="TableContents"/>
              <w:bidi w:val="0"/>
              <w:spacing w:before="0" w:after="283"/>
              <w:jc w:val="left"/>
              <w:rPr/>
            </w:pPr>
            <w:r>
              <w:rPr/>
              <w:t>Balance - January 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7,738</w:t>
            </w:r>
          </w:p>
        </w:tc>
        <w:tc>
          <w:tcPr>
            <w:tcW w:w="11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74</w:t>
            </w:r>
          </w:p>
        </w:tc>
        <w:tc>
          <w:tcPr>
            <w:tcW w:w="11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b/>
              </w:rPr>
            </w:pPr>
            <w:r>
              <w:rPr>
                <w:b/>
              </w:rPr>
              <w:t>Balance -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7,812</w:t>
            </w:r>
          </w:p>
        </w:tc>
        <w:tc>
          <w:tcPr>
            <w:tcW w:w="11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w:t>
            </w:r>
          </w:p>
        </w:tc>
      </w:tr>
      <w:tr>
        <w:trPr/>
        <w:tc>
          <w:tcPr>
            <w:tcW w:w="263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(669</w:t>
            </w:r>
          </w:p>
        </w:tc>
        <w:tc>
          <w:tcPr>
            <w:tcW w:w="110" w:type="dxa"/>
            <w:tcBorders/>
            <w:shd w:fill="CCEEFF" w:val="clear"/>
            <w:vAlign w:val="center"/>
          </w:tcPr>
          <w:p>
            <w:pPr>
              <w:pStyle w:val="TableContents"/>
              <w:bidi w:val="0"/>
              <w:spacing w:before="0" w:after="283"/>
              <w:jc w:val="left"/>
              <w:rPr/>
            </w:pPr>
            <w:r>
              <w:rPr/>
              <w:t>)</w:t>
            </w:r>
          </w:p>
        </w:tc>
      </w:tr>
      <w:tr>
        <w:trPr/>
        <w:tc>
          <w:tcPr>
            <w:tcW w:w="2630" w:type="dxa"/>
            <w:tcBorders/>
            <w:shd w:fill="FFFFFF" w:val="clear"/>
            <w:vAlign w:val="center"/>
          </w:tcPr>
          <w:p>
            <w:pPr>
              <w:pStyle w:val="TableContents"/>
              <w:bidi w:val="0"/>
              <w:spacing w:before="0" w:after="283"/>
              <w:jc w:val="left"/>
              <w:rPr>
                <w:b/>
              </w:rPr>
            </w:pPr>
            <w:r>
              <w:rPr>
                <w:b/>
              </w:rPr>
              <w:t>Balance -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7,100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observable and unobservable inputs were used to determine the fair value of warrants that the Company has classified within the Level 3 category. Unrealized gains and losses associated with liabilities within the Level 3 category include changes in fair value that were attributable to both observable (e.g., changes in market interest rates) and unobservable (e.g., changes in unobservable long-dated volatilities) inputs.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quantitative information regarding Level 3 fair value measurements inputs at their measurement:</w:t>
      </w:r>
    </w:p>
    <w:p>
      <w:pPr>
        <w:pStyle w:val="TextBody"/>
        <w:bidi w:val="0"/>
        <w:spacing w:before="0" w:after="0"/>
        <w:ind w:left="0" w:right="0" w:firstLine="360"/>
        <w:jc w:val="both"/>
        <w:rPr>
          <w:caps w:val="false"/>
          <w:smallCaps w:val="false"/>
        </w:rPr>
      </w:pPr>
      <w:r>
        <w:rPr>
          <w:caps w:val="false"/>
          <w:smallCaps w:val="false"/>
        </w:rPr>
        <w:t> </w:t>
      </w:r>
    </w:p>
    <w:tbl>
      <w:tblPr>
        <w:tblW w:w="7631" w:type="dxa"/>
        <w:jc w:val="left"/>
        <w:tblInd w:w="0" w:type="dxa"/>
        <w:tblLayout w:type="fixed"/>
        <w:tblCellMar>
          <w:top w:w="0" w:type="dxa"/>
          <w:left w:w="0" w:type="dxa"/>
          <w:bottom w:w="0" w:type="dxa"/>
          <w:right w:w="0" w:type="dxa"/>
        </w:tblCellMar>
      </w:tblPr>
      <w:tblGrid>
        <w:gridCol w:w="2150"/>
        <w:gridCol w:w="60"/>
        <w:gridCol w:w="290"/>
        <w:gridCol w:w="884"/>
        <w:gridCol w:w="185"/>
        <w:gridCol w:w="60"/>
        <w:gridCol w:w="246"/>
        <w:gridCol w:w="808"/>
        <w:gridCol w:w="185"/>
        <w:gridCol w:w="60"/>
        <w:gridCol w:w="274"/>
        <w:gridCol w:w="900"/>
        <w:gridCol w:w="215"/>
        <w:gridCol w:w="60"/>
        <w:gridCol w:w="246"/>
        <w:gridCol w:w="808"/>
        <w:gridCol w:w="200"/>
      </w:tblGrid>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21"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c>
          <w:tcPr>
            <w:tcW w:w="20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Angel</w:t>
            </w:r>
            <w:r>
              <w:rPr/>
              <w:br/>
            </w:r>
            <w:r>
              <w:rPr>
                <w:rFonts w:ascii="Times New Roman;Times;Serif" w:hAnsi="Times New Roman;Times;Serif"/>
                <w:b/>
                <w:sz w:val="20"/>
              </w:rPr>
              <w:t>Warrants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Investor</w:t>
            </w:r>
            <w:r>
              <w:rPr/>
              <w:br/>
            </w:r>
            <w:r>
              <w:rPr>
                <w:rFonts w:ascii="Times New Roman;Times;Serif" w:hAnsi="Times New Roman;Times;Serif"/>
                <w:b/>
                <w:sz w:val="20"/>
              </w:rPr>
              <w:t>Warrants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Avenue</w:t>
            </w:r>
            <w:r>
              <w:rPr/>
              <w:br/>
            </w:r>
            <w:r>
              <w:rPr>
                <w:rFonts w:ascii="Times New Roman;Times;Serif" w:hAnsi="Times New Roman;Times;Serif"/>
                <w:b/>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Hudson</w:t>
            </w:r>
            <w:r>
              <w:rPr/>
              <w:br/>
            </w:r>
            <w:r>
              <w:rPr>
                <w:rFonts w:ascii="Times New Roman;Times;Serif" w:hAnsi="Times New Roman;Times;Serif"/>
                <w:b/>
                <w:sz w:val="20"/>
              </w:rPr>
              <w:t>Warrants</w:t>
            </w:r>
          </w:p>
        </w:tc>
        <w:tc>
          <w:tcPr>
            <w:tcW w:w="20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Method</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Black Scholes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Monte Carlo</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Black Scholes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Monte Carlo</w:t>
            </w:r>
          </w:p>
        </w:tc>
        <w:tc>
          <w:tcPr>
            <w:tcW w:w="200"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Strike price (per share)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w:t>
            </w:r>
          </w:p>
        </w:tc>
        <w:tc>
          <w:tcPr>
            <w:tcW w:w="20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Contractual term (years)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c>
          <w:tcPr>
            <w:tcW w:w="20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 (annual)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 (per share)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Probability assessment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caps w:val="false"/>
          <w:smallCaps w:val="false"/>
        </w:rPr>
      </w:pPr>
      <w:r>
        <w:rPr>
          <w:caps w:val="false"/>
          <w:smallCaps w:val="false"/>
        </w:rPr>
        <w:t> </w:t>
      </w:r>
    </w:p>
    <w:tbl>
      <w:tblPr>
        <w:tblW w:w="7631" w:type="dxa"/>
        <w:jc w:val="left"/>
        <w:tblInd w:w="0" w:type="dxa"/>
        <w:tblLayout w:type="fixed"/>
        <w:tblCellMar>
          <w:top w:w="0" w:type="dxa"/>
          <w:left w:w="0" w:type="dxa"/>
          <w:bottom w:w="0" w:type="dxa"/>
          <w:right w:w="0" w:type="dxa"/>
        </w:tblCellMar>
      </w:tblPr>
      <w:tblGrid>
        <w:gridCol w:w="2150"/>
        <w:gridCol w:w="60"/>
        <w:gridCol w:w="290"/>
        <w:gridCol w:w="884"/>
        <w:gridCol w:w="185"/>
        <w:gridCol w:w="60"/>
        <w:gridCol w:w="246"/>
        <w:gridCol w:w="808"/>
        <w:gridCol w:w="185"/>
        <w:gridCol w:w="60"/>
        <w:gridCol w:w="274"/>
        <w:gridCol w:w="900"/>
        <w:gridCol w:w="215"/>
        <w:gridCol w:w="60"/>
        <w:gridCol w:w="246"/>
        <w:gridCol w:w="808"/>
        <w:gridCol w:w="200"/>
      </w:tblGrid>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21"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20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Angel</w:t>
            </w:r>
            <w:r>
              <w:rPr/>
              <w:br/>
            </w:r>
            <w:r>
              <w:rPr>
                <w:rFonts w:ascii="Times New Roman;Times;Serif" w:hAnsi="Times New Roman;Times;Serif"/>
                <w:b/>
                <w:sz w:val="20"/>
              </w:rPr>
              <w:t>Warrants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Investor</w:t>
            </w:r>
            <w:r>
              <w:rPr/>
              <w:br/>
            </w:r>
            <w:r>
              <w:rPr>
                <w:rFonts w:ascii="Times New Roman;Times;Serif" w:hAnsi="Times New Roman;Times;Serif"/>
                <w:b/>
                <w:sz w:val="20"/>
              </w:rPr>
              <w:t>Warrants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Avenue</w:t>
            </w:r>
            <w:r>
              <w:rPr/>
              <w:br/>
            </w:r>
            <w:r>
              <w:rPr>
                <w:rFonts w:ascii="Times New Roman;Times;Serif" w:hAnsi="Times New Roman;Times;Serif"/>
                <w:b/>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Hudson</w:t>
            </w:r>
            <w:r>
              <w:rPr/>
              <w:br/>
            </w:r>
            <w:r>
              <w:rPr>
                <w:rFonts w:ascii="Times New Roman;Times;Serif" w:hAnsi="Times New Roman;Times;Serif"/>
                <w:b/>
                <w:sz w:val="20"/>
              </w:rPr>
              <w:t>Warrants</w:t>
            </w:r>
          </w:p>
        </w:tc>
        <w:tc>
          <w:tcPr>
            <w:tcW w:w="20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Method</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Black Scholes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Monte Carlo</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Black Scholes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Monte Carlo</w:t>
            </w:r>
          </w:p>
        </w:tc>
        <w:tc>
          <w:tcPr>
            <w:tcW w:w="200"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Strike price (per share)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w:t>
            </w:r>
          </w:p>
        </w:tc>
        <w:tc>
          <w:tcPr>
            <w:tcW w:w="20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Contractual term (years)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20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 (annual)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 (per share)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Probability assessment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osition w:val="8"/>
                <w:sz w:val="19"/>
              </w:rPr>
            </w:pPr>
            <w:r>
              <w:rPr>
                <w:position w:val="8"/>
                <w:sz w:val="19"/>
              </w:rPr>
              <w:t>(1)</w:t>
            </w:r>
          </w:p>
        </w:tc>
        <w:tc>
          <w:tcPr>
            <w:tcW w:w="9973" w:type="dxa"/>
            <w:tcBorders/>
            <w:vAlign w:val="center"/>
          </w:tcPr>
          <w:p>
            <w:pPr>
              <w:pStyle w:val="TableContents"/>
              <w:bidi w:val="0"/>
              <w:spacing w:before="0" w:after="283"/>
              <w:jc w:val="left"/>
              <w:rPr/>
            </w:pPr>
            <w:r>
              <w:rPr/>
              <w:t>Probability assessment reflects management’s estimate of the likelihood of an event that could accelerate exercisability or modify settlement mechanics under the warrant agreements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7. COMMITMENTS AND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for its corporate headquarters in Dallas, Texas under a single operating lease that expires in February 2028. As of June 30, 2026, remaining undiscounted lease payments were approximately $1.4 million and the related operating lease liability was $1.3 million, of which $0.8 million was classified as short-term. There have been no material changes to the Company’s lease obligations since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Matters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 party to any material legal proceedings or pending claims. From time to time, the Company may be subject to various legal proceedings and claims that arise in the ordinary course of its business activities, none of which we believe are material or would be expected to have, individually or in the aggregate, a material adverse effect on our business, financial condition, cash flows or results of operations.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INCOME TAXES</w:t>
      </w:r>
    </w:p>
    <w:p>
      <w:pPr>
        <w:pStyle w:val="TextBody"/>
        <w:bidi w:val="0"/>
        <w:spacing w:before="0" w:after="0"/>
        <w:ind w:left="0" w:right="0" w:firstLine="324"/>
        <w:jc w:val="left"/>
        <w:rPr>
          <w:caps w:val="false"/>
          <w:smallCaps w:val="false"/>
        </w:rPr>
      </w:pPr>
      <w:r>
        <w:rPr>
          <w:caps w:val="false"/>
          <w:smallCaps w:val="false"/>
        </w:rPr>
        <w:t>  </w:t>
      </w:r>
    </w:p>
    <w:p>
      <w:pPr>
        <w:pStyle w:val="TextBody"/>
        <w:bidi w:val="0"/>
        <w:spacing w:before="0" w:after="0"/>
        <w:ind w:left="0" w:right="0" w:firstLine="3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United States, in various state and local jurisdictions, and in the United Kingdom. The current income tax expense recorded in each period presented relates principally to the Texas franchise tax, which is assessed on gross margin rather than on taxable income.</w:t>
      </w:r>
    </w:p>
    <w:p>
      <w:pPr>
        <w:pStyle w:val="TextBody"/>
        <w:bidi w:val="0"/>
        <w:spacing w:before="0" w:after="0"/>
        <w:ind w:left="0" w:right="0" w:firstLine="324"/>
        <w:jc w:val="left"/>
        <w:rPr>
          <w:caps w:val="false"/>
          <w:smallCaps w:val="false"/>
        </w:rPr>
      </w:pPr>
      <w:r>
        <w:rPr>
          <w:caps w:val="false"/>
          <w:smallCaps w:val="false"/>
        </w:rPr>
        <w:t> </w:t>
      </w:r>
    </w:p>
    <w:p>
      <w:pPr>
        <w:pStyle w:val="TextBody"/>
        <w:bidi w:val="0"/>
        <w:spacing w:before="0" w:after="0"/>
        <w:ind w:left="0" w:right="0" w:firstLine="3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income tax expense of approximately $0.2 million for each of the three and six months ended June 30, 2026, and an income tax benefit of less than $0.1 million and income tax expense of approximately $0.1 million for the three and six months ended June 30, 2025, respectively. The effective tax rate was (4.2)% and (2.2)% for the three and six months ended June 30, 2026, and 0.2% and (1.0)% for the three and six months ended June 30, 2025.</w:t>
      </w:r>
    </w:p>
    <w:p>
      <w:pPr>
        <w:pStyle w:val="TextBody"/>
        <w:bidi w:val="0"/>
        <w:spacing w:before="0" w:after="0"/>
        <w:ind w:left="0" w:right="0" w:firstLine="324"/>
        <w:jc w:val="left"/>
        <w:rPr>
          <w:caps w:val="false"/>
          <w:smallCaps w:val="false"/>
        </w:rPr>
      </w:pPr>
      <w:r>
        <w:rPr>
          <w:caps w:val="false"/>
          <w:smallCaps w:val="false"/>
        </w:rPr>
        <w:t> </w:t>
      </w:r>
    </w:p>
    <w:p>
      <w:pPr>
        <w:pStyle w:val="TextBody"/>
        <w:bidi w:val="0"/>
        <w:spacing w:before="0" w:after="0"/>
        <w:ind w:left="0" w:right="0" w:firstLine="3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for interim periods is determined using an estimate of the Company’s annual effective tax rate, adjusted for discrete items arising in the period. The Company’s effective tax rate differs from the U.S. federal statutory rate of 21% primarily because the Company maintains a full valuation allowance against its net deferred tax assets. As a result of cumulative losses in both the United States and the United Kingdom, management has concluded that it is not more likely than not that those deferred tax assets will be realized, and accordingly no tax benefit has been recognized for losses incurred in the periods presented.</w:t>
      </w:r>
    </w:p>
    <w:p>
      <w:pPr>
        <w:pStyle w:val="TextBody"/>
        <w:bidi w:val="0"/>
        <w:spacing w:before="0" w:after="0"/>
        <w:ind w:left="0" w:right="0" w:firstLine="324"/>
        <w:jc w:val="left"/>
        <w:rPr>
          <w:caps w:val="false"/>
          <w:smallCaps w:val="false"/>
        </w:rPr>
      </w:pPr>
      <w:r>
        <w:rPr>
          <w:caps w:val="false"/>
          <w:smallCaps w:val="false"/>
        </w:rPr>
        <w:t> </w:t>
      </w:r>
    </w:p>
    <w:p>
      <w:pPr>
        <w:pStyle w:val="TextBody"/>
        <w:bidi w:val="0"/>
        <w:spacing w:before="0" w:after="0"/>
        <w:ind w:left="0" w:right="0" w:firstLine="3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Company’s deferred tax assets, valuation allowance or unrecognized tax benefits since December 31, 2025. The Company evaluates its tax positions on a quarterly basis and revises its estimates as appropriate.</w:t>
      </w:r>
    </w:p>
    <w:p>
      <w:pPr>
        <w:pStyle w:val="TextBody"/>
        <w:bidi w:val="0"/>
        <w:spacing w:before="0" w:after="0"/>
        <w:ind w:left="0" w:right="0" w:firstLine="32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9. STOCKHOLDERS’ DEFICIT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certificate of incorporation, as amended and restated, authorizes the issuance of 80,000,000 shares of Common Stock, $0.0001 par value and 1,000,000 shares of preferred stock, $0.0001 par value.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935,000 Pre-Funded Warrants were exercised, at an exercise price per share of $0.0001 and 30,000 Investor Warrants were exercised, at an exercise price per share of $1.80.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3,000 shares of Common Stock were sold under the Yorkville SEPA for approximately $5,000.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 standby equity purchase agreement with YA II PN, Ltd., an affiliate of Yorkville Advisors Global, LP (the “Yorkville SEPA”), under which the Company may, at its option and subject to the conditions and limitations of that agreement, sell shares of Common Stock to Yorkville from time to time. The Yorkville SEPA expires in March 2027. Shares sold under the Yorkville SEPA are issued at a discount to prevailing market prices, and the Company’s ability to draw on the facility is limited by the number of shares registered for resale, by ownership limitations applicable to Yorkville and by the Company’s ability to satisfy the conditions to each advance.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2,791,113 of the 6,369,937 shares registered for resale in connection with the Yorkville SEPA remained available for issuance. Because shares are issued at a discount to prevailing market prices, the amount of cash that may be realized from the remaining registered shares is not fixed and will vary with the Company’s share price. In addition, as of August 7, 2026, the Company had approximately $10.9 million available under its effective shelf registration on Form S-3, which may be used to sell shares under the Yorkville SEPA. The amount available is not fixed and will increase or decrease with the Company’s share price and public float, and is described more fully under </w:t>
      </w:r>
      <w:r>
        <w:rPr>
          <w:rFonts w:ascii="Times New Roman;Times;Serif" w:hAnsi="Times New Roman;Times;Serif"/>
          <w:b w:val="false"/>
          <w:i/>
          <w:caps w:val="false"/>
          <w:smallCaps w:val="false"/>
          <w:sz w:val="20"/>
        </w:rPr>
        <w:t>Sources of Liquidity</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STOCK-BASED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2,791,063 shares available for the grant of awards under the Company’s 2023 Long Term Incentive Plan (the “2023 Plan”).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granted 600,000 shares of restricted stock units to the Company’s non-employee directors and CEO of which 300,000 vested in April 2026 and the remaining 300,000 will vest in April 2027. The grant date fair value of these awards was $1.1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RSU activities for the six months ended June 30, 2026 are presented below:</w:t>
      </w:r>
    </w:p>
    <w:p>
      <w:pPr>
        <w:pStyle w:val="TextBody"/>
        <w:bidi w:val="0"/>
        <w:spacing w:before="0" w:after="0"/>
        <w:ind w:left="0" w:right="0" w:firstLine="36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140"/>
        <w:gridCol w:w="60"/>
        <w:gridCol w:w="73"/>
        <w:gridCol w:w="1071"/>
        <w:gridCol w:w="95"/>
        <w:gridCol w:w="60"/>
        <w:gridCol w:w="286"/>
        <w:gridCol w:w="903"/>
        <w:gridCol w:w="75"/>
      </w:tblGrid>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 xml:space="preserve">Number of </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 xml:space="preserve">Weighted </w:t>
              <w:br/>
              <w:t xml:space="preserve">Average </w:t>
              <w:br/>
              <w:t xml:space="preserve">Grant Date </w:t>
              <w:br/>
              <w:t xml:space="preserve">Fair Value </w:t>
              <w:br/>
              <w:t>per Share</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Nonvested as of January 1, 2026</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9,700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0.45</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w:t>
            </w:r>
          </w:p>
        </w:tc>
        <w:tc>
          <w:tcPr>
            <w:tcW w:w="903" w:type="dxa"/>
            <w:tcBorders/>
            <w:shd w:fill="FFFFFF" w:val="clear"/>
            <w:vAlign w:val="center"/>
          </w:tcPr>
          <w:p>
            <w:pPr>
              <w:pStyle w:val="TableContents"/>
              <w:bidi w:val="0"/>
              <w:spacing w:before="0" w:after="283"/>
              <w:jc w:val="right"/>
              <w:rPr/>
            </w:pPr>
            <w:r>
              <w:rPr/>
              <w:t>1.89</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(309,700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1.84</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w:t>
            </w:r>
          </w:p>
        </w:tc>
        <w:tc>
          <w:tcPr>
            <w:tcW w:w="90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Nonvested as of June 30, 2026</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1" w:type="dxa"/>
            <w:tcBorders>
              <w:bottom w:val="double" w:sz="10" w:space="0" w:color="000000"/>
            </w:tcBorders>
            <w:shd w:fill="CCEEFF" w:val="clear"/>
            <w:tcMar>
              <w:bottom w:w="28" w:type="dxa"/>
            </w:tcM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1.89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total unrecognized compensation expense related to restricted stock units was $0.5 million, which is expected to be recognized over a weighted-average period of 0.75 years.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options activity for the six months ended June 30, 2026 is presented below:</w:t>
      </w:r>
    </w:p>
    <w:p>
      <w:pPr>
        <w:pStyle w:val="TextBody"/>
        <w:bidi w:val="0"/>
        <w:spacing w:before="0" w:after="0"/>
        <w:ind w:left="0" w:right="0" w:firstLine="360"/>
        <w:jc w:val="both"/>
        <w:rPr>
          <w:caps w:val="false"/>
          <w:smallCaps w:val="false"/>
        </w:rPr>
      </w:pPr>
      <w:r>
        <w:rPr>
          <w:caps w:val="false"/>
          <w:smallCaps w:val="false"/>
        </w:rPr>
        <w:t> </w:t>
      </w:r>
    </w:p>
    <w:tbl>
      <w:tblPr>
        <w:tblW w:w="10169" w:type="dxa"/>
        <w:jc w:val="left"/>
        <w:tblInd w:w="0" w:type="dxa"/>
        <w:tblLayout w:type="fixed"/>
        <w:tblCellMar>
          <w:top w:w="0" w:type="dxa"/>
          <w:left w:w="0" w:type="dxa"/>
          <w:bottom w:w="0" w:type="dxa"/>
          <w:right w:w="0" w:type="dxa"/>
        </w:tblCellMar>
      </w:tblPr>
      <w:tblGrid>
        <w:gridCol w:w="4865"/>
        <w:gridCol w:w="60"/>
        <w:gridCol w:w="60"/>
        <w:gridCol w:w="980"/>
        <w:gridCol w:w="95"/>
        <w:gridCol w:w="60"/>
        <w:gridCol w:w="239"/>
        <w:gridCol w:w="755"/>
        <w:gridCol w:w="60"/>
        <w:gridCol w:w="60"/>
        <w:gridCol w:w="187"/>
        <w:gridCol w:w="1003"/>
        <w:gridCol w:w="60"/>
        <w:gridCol w:w="60"/>
        <w:gridCol w:w="310"/>
        <w:gridCol w:w="1240"/>
        <w:gridCol w:w="75"/>
      </w:tblGrid>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Stock</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 xml:space="preserve">Weighted </w:t>
              <w:br/>
              <w:t>Average</w:t>
              <w:br/>
              <w:t xml:space="preserve">Exercise </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Weighted</w:t>
              <w:br/>
              <w:t xml:space="preserve">Average </w:t>
              <w:br/>
              <w:t>Remaining</w:t>
              <w:br/>
              <w:t>Contractual</w:t>
              <w:br/>
              <w:t xml:space="preserve">Life </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Aggregate</w:t>
              <w:br/>
              <w:t xml:space="preserve">Intrinsic Value </w:t>
              <w:br/>
              <w:t>(in thousands)</w:t>
            </w:r>
          </w:p>
        </w:tc>
        <w:tc>
          <w:tcPr>
            <w:tcW w:w="7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3,857,138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544</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(64,810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(26,102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(168,333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Outstanding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4,029,463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w:t>
            </w:r>
          </w:p>
        </w:tc>
        <w:tc>
          <w:tcPr>
            <w:tcW w:w="1240" w:type="dxa"/>
            <w:tcBorders/>
            <w:shd w:fill="FFFFFF" w:val="clear"/>
            <w:vAlign w:val="center"/>
          </w:tcPr>
          <w:p>
            <w:pPr>
              <w:pStyle w:val="TableContents"/>
              <w:bidi w:val="0"/>
              <w:spacing w:before="0" w:after="283"/>
              <w:jc w:val="right"/>
              <w:rPr/>
            </w:pPr>
            <w:r>
              <w:rPr/>
              <w:t>1,053</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Options vested and exercisable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3,020,194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784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total unrecognized compensation expense related to stock options was $0.8 million, which is expected to be recognized over a weighted-average period of 1.2 years.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by expense category, during the three and six months ended June 30, 2026 and 2025 consisted of the following (in thousands): </w:t>
      </w:r>
    </w:p>
    <w:p>
      <w:pPr>
        <w:pStyle w:val="TextBody"/>
        <w:bidi w:val="0"/>
        <w:spacing w:before="0" w:after="0"/>
        <w:ind w:left="0" w:right="0" w:firstLine="360"/>
        <w:jc w:val="both"/>
        <w:rPr>
          <w:caps w:val="false"/>
          <w:smallCaps w:val="false"/>
        </w:rPr>
      </w:pPr>
      <w:r>
        <w:rPr>
          <w:caps w:val="false"/>
          <w:smallCaps w:val="false"/>
        </w:rPr>
        <w:t> </w:t>
      </w:r>
    </w:p>
    <w:tbl>
      <w:tblPr>
        <w:tblW w:w="8317" w:type="dxa"/>
        <w:jc w:val="left"/>
        <w:tblInd w:w="0" w:type="dxa"/>
        <w:tblLayout w:type="fixed"/>
        <w:tblCellMar>
          <w:top w:w="0" w:type="dxa"/>
          <w:left w:w="0" w:type="dxa"/>
          <w:bottom w:w="0" w:type="dxa"/>
          <w:right w:w="0" w:type="dxa"/>
        </w:tblCellMar>
      </w:tblPr>
      <w:tblGrid>
        <w:gridCol w:w="3890"/>
        <w:gridCol w:w="60"/>
        <w:gridCol w:w="273"/>
        <w:gridCol w:w="743"/>
        <w:gridCol w:w="117"/>
        <w:gridCol w:w="117"/>
        <w:gridCol w:w="273"/>
        <w:gridCol w:w="743"/>
        <w:gridCol w:w="60"/>
        <w:gridCol w:w="60"/>
        <w:gridCol w:w="223"/>
        <w:gridCol w:w="607"/>
        <w:gridCol w:w="151"/>
        <w:gridCol w:w="95"/>
        <w:gridCol w:w="223"/>
        <w:gridCol w:w="607"/>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16</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32</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789</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974</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544</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43" w:type="dxa"/>
            <w:tcBorders>
              <w:bottom w:val="double" w:sz="10" w:space="0" w:color="000000"/>
            </w:tcBorders>
            <w:shd w:fill="FFFFFF" w:val="clear"/>
            <w:tcMar>
              <w:bottom w:w="28" w:type="dxa"/>
            </w:tcMar>
            <w:vAlign w:val="center"/>
          </w:tcPr>
          <w:p>
            <w:pPr>
              <w:pStyle w:val="TableContents"/>
              <w:bidi w:val="0"/>
              <w:spacing w:before="0" w:after="283"/>
              <w:jc w:val="right"/>
              <w:rPr/>
            </w:pPr>
            <w:r>
              <w:rPr/>
              <w:t>807</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7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43" w:type="dxa"/>
            <w:tcBorders>
              <w:bottom w:val="double" w:sz="10" w:space="0" w:color="000000"/>
            </w:tcBorders>
            <w:shd w:fill="FFFFFF" w:val="clear"/>
            <w:tcMar>
              <w:bottom w:w="28" w:type="dxa"/>
            </w:tcMar>
            <w:vAlign w:val="center"/>
          </w:tcPr>
          <w:p>
            <w:pPr>
              <w:pStyle w:val="TableContents"/>
              <w:bidi w:val="0"/>
              <w:spacing w:before="0" w:after="283"/>
              <w:jc w:val="right"/>
              <w:rPr/>
            </w:pPr>
            <w:r>
              <w:rPr/>
              <w:t>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7" w:type="dxa"/>
            <w:tcBorders>
              <w:bottom w:val="double" w:sz="10" w:space="0" w:color="000000"/>
            </w:tcBorders>
            <w:shd w:fill="FFFFFF" w:val="clear"/>
            <w:tcMar>
              <w:bottom w:w="28" w:type="dxa"/>
            </w:tcMar>
            <w:vAlign w:val="center"/>
          </w:tcPr>
          <w:p>
            <w:pPr>
              <w:pStyle w:val="TableContents"/>
              <w:bidi w:val="0"/>
              <w:spacing w:before="0" w:after="283"/>
              <w:jc w:val="right"/>
              <w:rPr/>
            </w:pPr>
            <w:r>
              <w:rPr/>
              <w:t>990</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7" w:type="dxa"/>
            <w:tcBorders>
              <w:bottom w:val="double" w:sz="10" w:space="0" w:color="000000"/>
            </w:tcBorders>
            <w:shd w:fill="FFFFFF" w:val="clear"/>
            <w:tcMar>
              <w:bottom w:w="28" w:type="dxa"/>
            </w:tcMar>
            <w:vAlign w:val="center"/>
          </w:tcPr>
          <w:p>
            <w:pPr>
              <w:pStyle w:val="TableContents"/>
              <w:bidi w:val="0"/>
              <w:spacing w:before="0" w:after="283"/>
              <w:jc w:val="right"/>
              <w:rPr/>
            </w:pPr>
            <w:r>
              <w:rPr/>
              <w:t>611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NET (LOSS) INCOME PER COMMON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potentially dilutive securities that were excluded from the above computation of net loss per common share as of the periods presented because including them would be anti-dilutive.</w:t>
      </w:r>
    </w:p>
    <w:p>
      <w:pPr>
        <w:pStyle w:val="TextBody"/>
        <w:bidi w:val="0"/>
        <w:spacing w:before="0" w:after="0"/>
        <w:ind w:left="0" w:right="0" w:firstLine="36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915"/>
        <w:gridCol w:w="60"/>
        <w:gridCol w:w="60"/>
        <w:gridCol w:w="1100"/>
        <w:gridCol w:w="60"/>
        <w:gridCol w:w="60"/>
        <w:gridCol w:w="60"/>
        <w:gridCol w:w="1100"/>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4,029,463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4,407,870</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13,913,422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11,344,230</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Unvested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59,700</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Convertible 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1,004,016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1,004,016</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19,246,901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16,815,816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SEGMENT INFORMATION</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and discrete information is available for evaluation by the chief operating decision-maker (the “CODM”) in deciding how to allocate resources and assess performance. Through March 31, 2026 the CODM was the Chairman of the Board in conjunction with the Company’s executive management team as they managed the Company’s operations on an aggregate basis for the purpose of allocating resources. Beginning April 1, 2026, in connection with the appointment of a new Chief Executive Officer (“CEO”), the Company determined that its CEO is the CODM as he has ultimate decision-making authority over the Company’s operations, regulatory affairs, commercial strategy, and back-office (finance, accounting, and administrative) functions, which are the Company’s key operating departments. He is the individual who regularly reviews the Company’s consolidated operating results, assesses performance against budget, and determines how the Company’s capital and personnel resources are allocated across these functions.</w:t>
      </w:r>
    </w:p>
    <w:p>
      <w:pPr>
        <w:pStyle w:val="TextBody"/>
        <w:bidi w:val="0"/>
        <w:spacing w:before="0" w:after="0"/>
        <w:ind w:left="0" w:right="0" w:firstLine="324"/>
        <w:jc w:val="left"/>
        <w:rPr>
          <w:caps w:val="false"/>
          <w:smallCaps w:val="false"/>
        </w:rPr>
      </w:pPr>
      <w:r>
        <w:rPr>
          <w:caps w:val="false"/>
          <w:smallCaps w:val="false"/>
        </w:rPr>
        <w:t> </w:t>
      </w:r>
    </w:p>
    <w:p>
      <w:pPr>
        <w:pStyle w:val="TextBody"/>
        <w:bidi w:val="0"/>
        <w:spacing w:before="0" w:after="0"/>
        <w:ind w:left="0" w:right="0" w:firstLine="3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have one operating segment. The accounting policies of the Company’s single operating and reportable segment are the same as those described in the summary of significant accounting policies.</w:t>
      </w:r>
    </w:p>
    <w:p>
      <w:pPr>
        <w:pStyle w:val="TextBody"/>
        <w:bidi w:val="0"/>
        <w:spacing w:before="0" w:after="0"/>
        <w:ind w:left="0" w:right="0" w:firstLine="324"/>
        <w:jc w:val="left"/>
        <w:rPr>
          <w:caps w:val="false"/>
          <w:smallCaps w:val="false"/>
        </w:rPr>
      </w:pPr>
      <w:r>
        <w:rPr>
          <w:caps w:val="false"/>
          <w:smallCaps w:val="false"/>
        </w:rPr>
        <w:t> </w:t>
      </w:r>
    </w:p>
    <w:p>
      <w:pPr>
        <w:pStyle w:val="TextBody"/>
        <w:bidi w:val="0"/>
        <w:spacing w:before="0" w:after="0"/>
        <w:ind w:left="0" w:right="0" w:firstLine="3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method for measuring profitability includes net loss, which the CODM uses to assess performance and make decisions for resource allocation, consistent with the measurement principles for net income (loss) as reported on the Company’s consolidated statement of operations. Significant expense categories regularly reviewed by the CODM and included in the measure of segment profit or loss consist of cost of revenue, research and development expense, selling and marketing expense, and general and administrative expense consistent with that reported on the Company’s consolidated statement of operations. Other segment items include interest income (expense), financing-related costs, amortization of debt discount, changes in the fair value of warrant liabilities and notes payable, foreign currency gains and losses, and income tax benefit or expense consistent with that reported on the Company’s consolidated statement of operations. The amounts of each of the significant expense categories regularly reviewed by the CODM are presented on the face of the condensed consolidated statements of operations and comprehensive loss. The measure of segment assets is reported on the consolidated balance sheets as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Spectral IP, a wholly-owned subsidiary of the Company, requested the withdrawal of its registration statement on Form S-1 (File No. 333-285935), which had been filed with the Securities and Exchange Commission on March 20, 2025 in connection with a proposed initial public offering of its common stock. No securities were sold under the registration statement. Spectral IP remains a wholly-owned subsidiary of the Company and continues to be consolidated in the Company’s condensed consolidated financial statements. The withdrawal did not result in any adjustment to the condensed consolidated financial statements as of and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the unaudited condensed consolidated financial statements and related notes included elsewhere in this Quarterly Report on Form 10-Q and with our Annual Report on Form 10-K for the year ended December 31, 2025 (the “2025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section titled “Risk Factors,” in our 2025 Annual Report and in other reports we have filed or may file with the SEC, our actual results could differ materially from the results described in or implied by the forward-looking statements contained in the following discussion and analysis.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artificial intelligence (“AI”) company focused on predictive medical diagnostics. We operate in one segment. Currently, we are devoting substantially all of our efforts towards research and development of our DeepView System, an internally developed multi-spectral imaging device that has previously received FDA breakthrough device designation status for an earlier version. On May 26, 2026, the FDA granted De Novo classification for the DeepView System for the burn indication, which authorizes the Company to commence commercial distribution activities in the United States. We expect to generate our first commercial sales in the United States by the end of 2026. Given our receipt of the UKCA mark for the burn indication, we also expect to begin commercialization activities in the United Kingdom in 2026. Our DeepView System uses proprietary algorithms to distinguish between damaged and healthy human tissue invisible to the naked eye, providing “Day One” healing assessments. DeepView’s output is specifically engineered to allow the physician to make a more accurate, timely and informed decision regarding the treatment of the patient’s wound. Our focus has been on the burn indication which is supported by the BARDA PBS contract.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burn wounds, a non-healing assessment could aid the clinician in making an immediate and objective determination for appropriate candidates for surgery, as well as determining what specific areas of the burn wound will require excision and skin grafting. The Company has completed the enrollment of 164 patients, including 49 pediatric subjects, representing the full enrollment requirements in its validation study for the De Novo submission. In participants, the DeepView System has shown superiority in sensitivity and met non-inferiority margin in specificity compared to clinician assessment. These findings were corroborated by the AI model’s cross-validation in identifying non-healing burn regions. This represents a significant improvement above the diagnostic accuracy of burn physicians assessing the same population. In addition to our validation study, we have conducted three large clinical studies with multiple sites across the United States, enrolling more than 400 patients, including adult and pediatric burn patients.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product revenue to date. We have received substantial support from the U.S. government for our DeepView System’s application for burn wounds, particularly from the Biomedical Advanced Research and Development Authority (“BARDA”), which is part of the HHS Office of the Assistant Secretary for Preparedness and Response in the United States, established to aid in securing the United States from chemical, biological, radiological, and nuclear threats, as well as from pandemic influenza and emerging infectious diseases. We have also received funding from the National Science Foundation, the National Institute of Health and the Defense Health Agency (the “DHA”). Since 2013, we have been awarded approximately $282.5 million in funding from government contracts, substantially all of which is from BARDA, which accounts for $272.9 million. This has allowed us to develop our technology and further our clinical trials.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executed our third contract with BARDA for a multi-year Project BioShield (“PBS”) agreement, valued at up to approximately $150.0 million (the “PBS BARDA Contract”). This included an initial award of approximately $54.9 million to support the clinical validation study and the distribution of up to 30 DeepView Systems in various burn centers and emergency departments to support our validation study and approximately another $95.1 million for further follow-on development and procurement activities related to the DeepView System. The funding also supported the Company’s FDA De Novo submission of our DeepView AI – Burn software, which was completed on June 30, 2025. In March 2026, BARDA exercised a portion of its contractual options under the contract, providing the Company with (i) a no-cost extension of the base phase of the contract from March 2026 to June 2026 and (ii) accelerated funding of approximately $31.7 million for further follow-on development and procurement activities related to the DeepView System. The contract continues to provide additional options, similar to our prior BARDA contracts, with an additional total value of approximately $63.4 million which can be exercised for additional product development, and the expanded procurement and deployment of DeepView Systems at emergency rooms, trauma and burn centers. These deployments will enable the Company to conduct health economic and outcome research studies to support the broader clinical adoption of the DeepView System. As part of this funding advance, the Company has committed to fund $9.7 million of the total overall development costs associated with these feature advancements.  This contract funding is non-dilutive to our shareholders, and we believe it validates the important nature of our mission and technology.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PBS BARDA contract, we received a $4.0 million grant award from the Medical Technology Enterprise Consortium (“MTEC”) in April 2023, which, building on prior awards from the DHA, is to be used to support military battlefield burn evaluation via a handheld version of the DeepView System device (the “MTEC Agreement”). In August 2024, the MTEC award was increased to $4.9 million and was extended to run through December 2025 with funding dependent on various milestones. In December 2025, the MTEC Agreement was extended to run through December 31, 2026. In March 2024, we received an additional $0.5 million award from the DHA to further this development, bringing the total value of our DHA awards supporting the handheld device to approximately $2.8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Once commercialized, we anticipate that the DeepView System will have two revenue streams, a SaMD (software as a medical device) model, and an imaging device component. The SaMD model applies a SaaS (software as a service) treatment for the DeepView System which will feature a software licensing fee that includes maintenance, image hosting, and access to algorithm updates. The proprietary imaging device accesses artificial intelligence algorithms and is a universal platform to house multiple clinical applications. Pricing for these components will be evaluated and strategically set per country and site-of-service for heightened customer adoption.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that May Influence Future Results of Operations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results of operations may not be comparable from period to period due to several factors. Key factors affecting our results of operations are summarized below.</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Sources. </w:t>
      </w:r>
      <w:r>
        <w:rPr>
          <w:rFonts w:ascii="Times New Roman;Times;Serif" w:hAnsi="Times New Roman;Times;Serif"/>
          <w:b w:val="false"/>
          <w:i w:val="false"/>
          <w:caps w:val="false"/>
          <w:smallCaps w:val="false"/>
          <w:sz w:val="20"/>
        </w:rPr>
        <w:t>As a pre-commercialization company, we currently generate revenue almost exclusively from two U.S. governmental agencies. We are highly dependent upon the continuation of the existing U.S. governmental contract awards, as well as future governmental procurement or other awards. Our operating results may not be comparable between periods as the timing and amount of awards or procurements from the U.S. government may be inconsistent with the timing of prior awards and the phasing of the development study schedules may be different. Our revenues may continue to be almost exclusively dependent upon the terms of those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Operating Expenses. </w:t>
      </w:r>
      <w:r>
        <w:rPr>
          <w:rFonts w:ascii="Times New Roman;Times;Serif" w:hAnsi="Times New Roman;Times;Serif"/>
          <w:b w:val="false"/>
          <w:i w:val="false"/>
          <w:caps w:val="false"/>
          <w:smallCaps w:val="false"/>
          <w:sz w:val="20"/>
        </w:rPr>
        <w:t>Following regulatory approval of the DeepView System, we expect operating expenses to increase as we invest in commercialization activities, including sales and marketing, manufacturing scale-up, and personnel growth. Operating expenses may fluctuate from period to period based on the timing of commercialization initiatives, product enhancements, hiring activities, and other strategic investments, which may impact the comparability of our results of operations.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Margin. </w:t>
      </w:r>
      <w:r>
        <w:rPr>
          <w:rFonts w:ascii="Times New Roman;Times;Serif" w:hAnsi="Times New Roman;Times;Serif"/>
          <w:b w:val="false"/>
          <w:i w:val="false"/>
          <w:caps w:val="false"/>
          <w:smallCaps w:val="false"/>
          <w:sz w:val="20"/>
        </w:rPr>
        <w:t>When we begin commercial sales of the DeepView System, we may need to determine lower pricing and incentives to accelerate adoption and implementation of the DeepView System, which may negatively impact future revenue and gross margin percentages.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Managing our Supply Chain. </w:t>
      </w:r>
      <w:r>
        <w:rPr>
          <w:rFonts w:ascii="Times New Roman;Times;Serif" w:hAnsi="Times New Roman;Times;Serif"/>
          <w:b w:val="false"/>
          <w:i w:val="false"/>
          <w:caps w:val="false"/>
          <w:smallCaps w:val="false"/>
          <w:sz w:val="20"/>
        </w:rPr>
        <w:t>We are reliant on contract manufacturers and suppliers to produce our components. While we have not been subject to any disruptions in our current limited production, we may be subject to component shortages, which may cause delays in critical components and inventory, longer lead times, increased costs and delays in product shipments. Our ability to grow depends, in part, on the ability of our contract manufacturers and suppliers to provide high-quality services and deliver components and finished products on time and at reasonable costs. While we do not maintain sole-source suppliers, there is a concentration of suppliers which could lead to supply shortages, long lead times for components and supply changes. In the event we are unable to mitigate the impact of delays and/or price increases in raw materials, electronic components and freight, it could delay the manufacturing and installation of our products, which would adversely impact our cash flows and results of operations, including revenue and gross margin.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Consolidated Statements of Operations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Revenue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revenues from the sale or license of our products. Our primary source of revenue is research and development revenue. Currently, we are highly dependent upon the reimbursements from BARDA for the burn diagnostic testing of our DeepView System and other U.S. government awards. The Company recognizes revenue in accordance with ASC 606, Revenue from Contracts with Customers. Our research and development revenue is affected by the amount of research and development that is expended each month with respect to our contract with BARDA and other U.S. governmental contract awards, such as our grant under the MTEC Agreement which we earn based on the achievement of milestones and performance milestones. Our revenue growth is dependent upon a number of factors, including expanding the research and development activities under the BARDA contract, research and development reimbursed expenses relating to other contract awards from U.S. governmental agencies and the intended future commercial sales of our DeepView System. See “Liquidity and Capital Resources” for additional information.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consists primarily of direct and indirect costs associated with the research and development expenses relating to the BARDA and MTEC contracts. Our revenue costs are affected by the extent of research and development expenses as well as expansion of work on other U.S. governmental projects and the expanded applications for our DeepView System.</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may vary from period-to-period and is primarily affected by the current reimbursement rates under the BARDA contract and other U.S. governmental contract awards. These reimbursement rates are fixed under the BARDA contract. Under the BARDA contract our gross profit represents this reimbursement rate plus a fixed fee component relating to non-reimbursed expenses incurred in connection with the work completed. Under the other fixed fee U.S. governmental contract awards our gross profit corresponds to the achievement of pre-determined milestones.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Costs and Expenses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and expenses consist of research and development, general and administrative and selling and marketing expenses. These expenses primarily relate to salaries and related costs of our organization’s support and operations staff, consulting fees, rent, insurance and office expenses, and our non-revenue generating research and development expenses, primarily related to salaries and related costs and consulting fees.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income (expense) consists of net interest expense, financing related costs related to the Avenue Financing, fees related to the Hudson Bay Financing, change in the fair value of warrant liability, and foreign exchange transaction gains/losses. Historic foreign exchange transaction loss primarily relates to changes in the exchange rate between the U.S. dollar and the British pound sterling for our deposit accounts that are denominated in British pound sterling. In addition, this amount includes costs associated with buying British pound sterling for payment of our employees and vendors in the UK.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and six months ended June 30, 2026 and 2025 (in thousands):</w:t>
      </w:r>
    </w:p>
    <w:p>
      <w:pPr>
        <w:pStyle w:val="TextBody"/>
        <w:bidi w:val="0"/>
        <w:spacing w:before="0" w:after="0"/>
        <w:ind w:left="0" w:right="0" w:firstLine="360"/>
        <w:jc w:val="left"/>
        <w:rPr>
          <w:caps w:val="false"/>
          <w:smallCaps w:val="false"/>
        </w:rPr>
      </w:pPr>
      <w:r>
        <w:rPr>
          <w:caps w:val="false"/>
          <w:smallCaps w:val="false"/>
        </w:rPr>
        <w:t> </w:t>
      </w:r>
    </w:p>
    <w:tbl>
      <w:tblPr>
        <w:tblW w:w="9440" w:type="dxa"/>
        <w:jc w:val="left"/>
        <w:tblInd w:w="0" w:type="dxa"/>
        <w:tblLayout w:type="fixed"/>
        <w:tblCellMar>
          <w:top w:w="0" w:type="dxa"/>
          <w:left w:w="0" w:type="dxa"/>
          <w:bottom w:w="0" w:type="dxa"/>
          <w:right w:w="0" w:type="dxa"/>
        </w:tblCellMar>
      </w:tblPr>
      <w:tblGrid>
        <w:gridCol w:w="5000"/>
        <w:gridCol w:w="60"/>
        <w:gridCol w:w="181"/>
        <w:gridCol w:w="823"/>
        <w:gridCol w:w="123"/>
        <w:gridCol w:w="77"/>
        <w:gridCol w:w="181"/>
        <w:gridCol w:w="823"/>
        <w:gridCol w:w="95"/>
        <w:gridCol w:w="60"/>
        <w:gridCol w:w="152"/>
        <w:gridCol w:w="693"/>
        <w:gridCol w:w="103"/>
        <w:gridCol w:w="65"/>
        <w:gridCol w:w="152"/>
        <w:gridCol w:w="742"/>
        <w:gridCol w:w="110"/>
      </w:tblGrid>
      <w:tr>
        <w:trPr/>
        <w:tc>
          <w:tcPr>
            <w:tcW w:w="5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0"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b/>
              </w:rPr>
            </w:pPr>
            <w:r>
              <w:rPr>
                <w:b/>
              </w:rPr>
              <w:t>Research and development revenue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3,524</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5,065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7,515</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11,772</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b/>
              </w:rPr>
            </w:pPr>
            <w:r>
              <w:rPr>
                <w:b/>
              </w:rPr>
              <w:t>Cost of revenue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(2,411</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(2,775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(4,375</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(6,314</w:t>
            </w:r>
          </w:p>
        </w:tc>
        <w:tc>
          <w:tcPr>
            <w:tcW w:w="110" w:type="dxa"/>
            <w:tcBorders/>
            <w:shd w:fill="FFFFFF" w:val="clear"/>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1,113</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2,290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center"/>
          </w:tcPr>
          <w:p>
            <w:pPr>
              <w:pStyle w:val="TableContents"/>
              <w:bidi w:val="0"/>
              <w:spacing w:before="0" w:after="283"/>
              <w:jc w:val="right"/>
              <w:rPr/>
            </w:pPr>
            <w:r>
              <w:rPr/>
              <w:t>3,140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5,458</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b/>
              </w:rPr>
            </w:pPr>
            <w:r>
              <w:rPr>
                <w:b/>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1,696</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3,258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2,770</w:t>
            </w:r>
          </w:p>
        </w:tc>
        <w:tc>
          <w:tcPr>
            <w:tcW w:w="11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3,088</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2,616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5,316</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5,061</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653</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861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646</w:t>
            </w:r>
          </w:p>
        </w:tc>
        <w:tc>
          <w:tcPr>
            <w:tcW w:w="11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b/>
              </w:rPr>
            </w:pPr>
            <w:r>
              <w:rPr>
                <w:b/>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5,437</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4,413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center"/>
          </w:tcPr>
          <w:p>
            <w:pPr>
              <w:pStyle w:val="TableContents"/>
              <w:bidi w:val="0"/>
              <w:spacing w:before="0" w:after="283"/>
              <w:jc w:val="right"/>
              <w:rPr/>
            </w:pPr>
            <w:r>
              <w:rPr/>
              <w:t>9,435</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8,477</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(4,324</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(2,123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(6,295</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(3,019</w:t>
            </w:r>
          </w:p>
        </w:tc>
        <w:tc>
          <w:tcPr>
            <w:tcW w:w="110" w:type="dxa"/>
            <w:tcBorders/>
            <w:shd w:fill="FFFFFF" w:val="clear"/>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Net interest (expense) income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(378</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(815</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(417</w:t>
            </w:r>
          </w:p>
        </w:tc>
        <w:tc>
          <w:tcPr>
            <w:tcW w:w="110" w:type="dxa"/>
            <w:tcBorders/>
            <w:shd w:fill="CCEEFF" w:val="clear"/>
            <w:vAlign w:val="center"/>
          </w:tcPr>
          <w:p>
            <w:pPr>
              <w:pStyle w:val="TableContents"/>
              <w:bidi w:val="0"/>
              <w:spacing w:before="0" w:after="283"/>
              <w:jc w:val="left"/>
              <w:rPr/>
            </w:pPr>
            <w:r>
              <w:rPr/>
              <w:t>)</w:t>
            </w:r>
          </w:p>
        </w:tc>
      </w:tr>
      <w:tr>
        <w:trPr/>
        <w:tc>
          <w:tcPr>
            <w:tcW w:w="5000" w:type="dxa"/>
            <w:tcBorders/>
            <w:shd w:fill="FFFFFF" w:val="clear"/>
            <w:vAlign w:val="center"/>
          </w:tcPr>
          <w:p>
            <w:pPr>
              <w:pStyle w:val="TableContents"/>
              <w:bidi w:val="0"/>
              <w:spacing w:before="0" w:after="283"/>
              <w:jc w:val="left"/>
              <w:rPr/>
            </w:pPr>
            <w:r>
              <w:rPr/>
              <w:t>Financing related costs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(5</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(12</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(585</w:t>
            </w:r>
          </w:p>
        </w:tc>
        <w:tc>
          <w:tcPr>
            <w:tcW w:w="110" w:type="dxa"/>
            <w:tcBorders/>
            <w:shd w:fill="FFFFFF" w:val="clear"/>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711</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(5,449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(291</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(1,196</w:t>
            </w:r>
          </w:p>
        </w:tc>
        <w:tc>
          <w:tcPr>
            <w:tcW w:w="110" w:type="dxa"/>
            <w:tcBorders/>
            <w:shd w:fill="CCEEFF" w:val="clear"/>
            <w:vAlign w:val="center"/>
          </w:tcPr>
          <w:p>
            <w:pPr>
              <w:pStyle w:val="TableContents"/>
              <w:bidi w:val="0"/>
              <w:spacing w:before="0" w:after="283"/>
              <w:jc w:val="left"/>
              <w:rPr/>
            </w:pPr>
            <w:r>
              <w:rPr/>
              <w:t>)</w:t>
            </w:r>
          </w:p>
        </w:tc>
      </w:tr>
      <w:tr>
        <w:trPr/>
        <w:tc>
          <w:tcPr>
            <w:tcW w:w="5000" w:type="dxa"/>
            <w:tcBorders/>
            <w:shd w:fill="FFFFFF" w:val="clear"/>
            <w:vAlign w:val="center"/>
          </w:tcPr>
          <w:p>
            <w:pPr>
              <w:pStyle w:val="TableContents"/>
              <w:bidi w:val="0"/>
              <w:spacing w:before="0" w:after="283"/>
              <w:jc w:val="left"/>
              <w:rPr/>
            </w:pPr>
            <w:r>
              <w:rPr/>
              <w:t>Change in fair value of notes payable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220</w:t>
            </w:r>
          </w:p>
        </w:tc>
        <w:tc>
          <w:tcPr>
            <w:tcW w:w="11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Foreign exchange transaction loss,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(10</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(15</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jc w:val="left"/>
              <w:rPr/>
            </w:pPr>
            <w:r>
              <w:rPr/>
              <w:t>)</w:t>
            </w:r>
          </w:p>
        </w:tc>
      </w:tr>
      <w:tr>
        <w:trPr/>
        <w:tc>
          <w:tcPr>
            <w:tcW w:w="5000" w:type="dxa"/>
            <w:tcBorders/>
            <w:shd w:fill="FFFFFF" w:val="clear"/>
            <w:vAlign w:val="center"/>
          </w:tcPr>
          <w:p>
            <w:pPr>
              <w:pStyle w:val="TableContents"/>
              <w:bidi w:val="0"/>
              <w:spacing w:before="0" w:after="283"/>
              <w:jc w:val="left"/>
              <w:rPr/>
            </w:pPr>
            <w:r>
              <w:rPr/>
              <w:t>Other income (expenses), including transaction costs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b/>
              </w:rPr>
            </w:pPr>
            <w:r>
              <w:rPr>
                <w:b/>
              </w:rPr>
              <w:t>Total other expense, net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(5,864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center"/>
          </w:tcPr>
          <w:p>
            <w:pPr>
              <w:pStyle w:val="TableContents"/>
              <w:bidi w:val="0"/>
              <w:spacing w:before="0" w:after="283"/>
              <w:jc w:val="right"/>
              <w:rPr/>
            </w:pPr>
            <w:r>
              <w:rPr/>
              <w:t>(1,133</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110" w:type="dxa"/>
            <w:tcBorders/>
            <w:shd w:fill="CCEEFF" w:val="clear"/>
            <w:vAlign w:val="center"/>
          </w:tcPr>
          <w:p>
            <w:pPr>
              <w:pStyle w:val="TableContents"/>
              <w:bidi w:val="0"/>
              <w:spacing w:before="0" w:after="283"/>
              <w:jc w:val="left"/>
              <w:rPr/>
            </w:pPr>
            <w:r>
              <w:rPr/>
              <w:t>)</w:t>
            </w:r>
          </w:p>
        </w:tc>
      </w:tr>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(4,006</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pPr>
            <w:r>
              <w:rPr/>
              <w:t>(7,987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center"/>
          </w:tcPr>
          <w:p>
            <w:pPr>
              <w:pStyle w:val="TableContents"/>
              <w:bidi w:val="0"/>
              <w:spacing w:before="0" w:after="283"/>
              <w:jc w:val="right"/>
              <w:rPr/>
            </w:pPr>
            <w:r>
              <w:rPr/>
              <w:t>(7,428</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(5,019</w:t>
            </w:r>
          </w:p>
        </w:tc>
        <w:tc>
          <w:tcPr>
            <w:tcW w:w="110" w:type="dxa"/>
            <w:tcBorders/>
            <w:shd w:fill="CCEEFF" w:val="clear"/>
            <w:vAlign w:val="center"/>
          </w:tcPr>
          <w:p>
            <w:pPr>
              <w:pStyle w:val="TableContents"/>
              <w:bidi w:val="0"/>
              <w:spacing w:before="0" w:after="283"/>
              <w:jc w:val="left"/>
              <w:rPr/>
            </w:pPr>
            <w:r>
              <w:rPr/>
              <w:t>)</w:t>
            </w:r>
          </w:p>
        </w:tc>
      </w:tr>
      <w:tr>
        <w:trPr/>
        <w:tc>
          <w:tcPr>
            <w:tcW w:w="500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(170</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(160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pPr>
            <w:r>
              <w:rPr/>
              <w:t>(4,176</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pPr>
            <w:r>
              <w:rPr/>
              <w:t>(7,968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3" w:type="dxa"/>
            <w:tcBorders>
              <w:bottom w:val="double" w:sz="10" w:space="0" w:color="000000"/>
            </w:tcBorders>
            <w:shd w:fill="CCEEFF" w:val="clear"/>
            <w:tcMar>
              <w:bottom w:w="28" w:type="dxa"/>
            </w:tcMar>
            <w:vAlign w:val="center"/>
          </w:tcPr>
          <w:p>
            <w:pPr>
              <w:pStyle w:val="TableContents"/>
              <w:bidi w:val="0"/>
              <w:spacing w:before="0" w:after="283"/>
              <w:jc w:val="right"/>
              <w:rPr/>
            </w:pPr>
            <w:r>
              <w:rPr/>
              <w:t>(7,588</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2" w:type="dxa"/>
            <w:tcBorders>
              <w:bottom w:val="double" w:sz="10" w:space="0" w:color="000000"/>
            </w:tcBorders>
            <w:shd w:fill="CCEEFF" w:val="clear"/>
            <w:tcMar>
              <w:bottom w:w="28" w:type="dxa"/>
            </w:tcMar>
            <w:vAlign w:val="center"/>
          </w:tcPr>
          <w:p>
            <w:pPr>
              <w:pStyle w:val="TableContents"/>
              <w:bidi w:val="0"/>
              <w:spacing w:before="0" w:after="283"/>
              <w:jc w:val="right"/>
              <w:rPr/>
            </w:pPr>
            <w:r>
              <w:rPr/>
              <w:t>(5,071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Revenue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Research and development revenue was $3.5 million and $7.5 million for the three and six months ended June 30, 2026, respectively, a decrease of 30.4% and 36.2%, respectively compared to the same periods in 2025, reflecting the anticipated reduction in reimbursed costs under the PBS BARDA Contract following the FDA’s De Novo authorization of the DeepView System, as the remaining scope of work narrowed to specific development projects, together with the cost-share provisions applicable to the follow-on development phase of that contract. Revenue from the Company’s other U.S. governmental contracts declined in the three months ended June 30, 2026 and which was offset by an increase primarily related to work on the Company’s handheld device, in the six months ended June 30, 2026.</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 the Company’s revenues disaggregated by the major sources were as follows (in thousands):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3"/>
        <w:gridCol w:w="60"/>
        <w:gridCol w:w="174"/>
        <w:gridCol w:w="697"/>
        <w:gridCol w:w="74"/>
        <w:gridCol w:w="74"/>
        <w:gridCol w:w="174"/>
        <w:gridCol w:w="697"/>
        <w:gridCol w:w="60"/>
        <w:gridCol w:w="140"/>
        <w:gridCol w:w="635"/>
        <w:gridCol w:w="95"/>
        <w:gridCol w:w="60"/>
        <w:gridCol w:w="60"/>
        <w:gridCol w:w="515"/>
        <w:gridCol w:w="255"/>
        <w:gridCol w:w="60"/>
        <w:gridCol w:w="152"/>
        <w:gridCol w:w="609"/>
        <w:gridCol w:w="64"/>
        <w:gridCol w:w="64"/>
        <w:gridCol w:w="152"/>
        <w:gridCol w:w="739"/>
        <w:gridCol w:w="60"/>
        <w:gridCol w:w="60"/>
        <w:gridCol w:w="140"/>
        <w:gridCol w:w="635"/>
        <w:gridCol w:w="95"/>
        <w:gridCol w:w="60"/>
        <w:gridCol w:w="60"/>
        <w:gridCol w:w="515"/>
        <w:gridCol w:w="277"/>
      </w:tblGrid>
      <w:tr>
        <w:trPr/>
        <w:tc>
          <w:tcPr>
            <w:tcW w:w="269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1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 in</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 in</w:t>
            </w:r>
          </w:p>
        </w:tc>
        <w:tc>
          <w:tcPr>
            <w:tcW w:w="277" w:type="dxa"/>
            <w:tcBorders/>
            <w:vAlign w:val="center"/>
          </w:tcPr>
          <w:p>
            <w:pPr>
              <w:pStyle w:val="TableContents"/>
              <w:bidi w:val="0"/>
              <w:spacing w:before="0" w:after="283"/>
              <w:ind w:left="0" w:right="0" w:hanging="180"/>
              <w:jc w:val="left"/>
              <w:rPr/>
            </w:pPr>
            <w:r>
              <w:rPr/>
              <w:t> </w:t>
            </w:r>
          </w:p>
        </w:tc>
      </w:tr>
      <w:tr>
        <w:trPr/>
        <w:tc>
          <w:tcPr>
            <w:tcW w:w="26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77" w:type="dxa"/>
            <w:tcBorders/>
            <w:vAlign w:val="center"/>
          </w:tcPr>
          <w:p>
            <w:pPr>
              <w:pStyle w:val="TableContents"/>
              <w:bidi w:val="0"/>
              <w:spacing w:before="0" w:after="283"/>
              <w:ind w:left="0" w:right="0" w:hanging="180"/>
              <w:jc w:val="left"/>
              <w:rPr/>
            </w:pPr>
            <w:r>
              <w:rPr/>
              <w:t> </w:t>
            </w:r>
          </w:p>
        </w:tc>
      </w:tr>
      <w:tr>
        <w:trPr/>
        <w:tc>
          <w:tcPr>
            <w:tcW w:w="26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75" w:type="dxa"/>
            <w:gridSpan w:val="29"/>
            <w:tcBorders/>
            <w:vAlign w:val="center"/>
          </w:tcPr>
          <w:p>
            <w:pPr>
              <w:pStyle w:val="TableContents"/>
              <w:bidi w:val="0"/>
              <w:spacing w:before="0" w:after="283"/>
              <w:jc w:val="center"/>
              <w:rPr>
                <w:b/>
              </w:rPr>
            </w:pPr>
            <w:r>
              <w:rPr>
                <w:b/>
              </w:rPr>
              <w:t>(In thousands, except percentages)</w:t>
            </w:r>
          </w:p>
        </w:tc>
        <w:tc>
          <w:tcPr>
            <w:tcW w:w="277" w:type="dxa"/>
            <w:tcBorders/>
            <w:vAlign w:val="center"/>
          </w:tcPr>
          <w:p>
            <w:pPr>
              <w:pStyle w:val="TableContents"/>
              <w:bidi w:val="0"/>
              <w:spacing w:before="0" w:after="283"/>
              <w:ind w:left="0" w:right="0" w:hanging="180"/>
              <w:jc w:val="left"/>
              <w:rPr/>
            </w:pPr>
            <w:r>
              <w:rPr/>
              <w:t> </w:t>
            </w:r>
          </w:p>
        </w:tc>
      </w:tr>
      <w:tr>
        <w:trPr/>
        <w:tc>
          <w:tcPr>
            <w:tcW w:w="2693" w:type="dxa"/>
            <w:tcBorders/>
            <w:shd w:fill="CCEEFF" w:val="clear"/>
            <w:vAlign w:val="center"/>
          </w:tcPr>
          <w:p>
            <w:pPr>
              <w:pStyle w:val="TableContents"/>
              <w:bidi w:val="0"/>
              <w:spacing w:before="0" w:after="283"/>
              <w:jc w:val="left"/>
              <w:rPr/>
            </w:pPr>
            <w:r>
              <w:rPr/>
              <w:t>BARDA</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697" w:type="dxa"/>
            <w:tcBorders/>
            <w:shd w:fill="CCEEFF" w:val="clear"/>
            <w:vAlign w:val="center"/>
          </w:tcPr>
          <w:p>
            <w:pPr>
              <w:pStyle w:val="TableContents"/>
              <w:bidi w:val="0"/>
              <w:spacing w:before="0" w:after="283"/>
              <w:jc w:val="right"/>
              <w:rPr/>
            </w:pPr>
            <w:r>
              <w:rPr/>
              <w:t>3,279</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697" w:type="dxa"/>
            <w:tcBorders/>
            <w:shd w:fill="CCEEFF" w:val="clear"/>
            <w:vAlign w:val="center"/>
          </w:tcPr>
          <w:p>
            <w:pPr>
              <w:pStyle w:val="TableContents"/>
              <w:bidi w:val="0"/>
              <w:spacing w:before="0" w:after="283"/>
              <w:jc w:val="right"/>
              <w:rPr/>
            </w:pPr>
            <w:r>
              <w:rPr/>
              <w:t>4,649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(29.5</w:t>
            </w:r>
          </w:p>
        </w:tc>
        <w:tc>
          <w:tcPr>
            <w:tcW w:w="2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09" w:type="dxa"/>
            <w:tcBorders/>
            <w:shd w:fill="CCEEFF" w:val="clear"/>
            <w:vAlign w:val="center"/>
          </w:tcPr>
          <w:p>
            <w:pPr>
              <w:pStyle w:val="TableContents"/>
              <w:bidi w:val="0"/>
              <w:spacing w:before="0" w:after="283"/>
              <w:jc w:val="right"/>
              <w:rPr/>
            </w:pPr>
            <w:r>
              <w:rPr/>
              <w:t>6,589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11,030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(4,441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(40.3</w:t>
            </w:r>
          </w:p>
        </w:tc>
        <w:tc>
          <w:tcPr>
            <w:tcW w:w="277" w:type="dxa"/>
            <w:tcBorders/>
            <w:shd w:fill="CCEEFF" w:val="clear"/>
            <w:vAlign w:val="center"/>
          </w:tcPr>
          <w:p>
            <w:pPr>
              <w:pStyle w:val="TableContents"/>
              <w:bidi w:val="0"/>
              <w:spacing w:before="0" w:after="283"/>
              <w:ind w:left="0" w:right="0" w:hanging="180"/>
              <w:jc w:val="left"/>
              <w:rPr/>
            </w:pPr>
            <w:r>
              <w:rPr/>
              <w:t>)%</w:t>
            </w:r>
          </w:p>
        </w:tc>
      </w:tr>
      <w:tr>
        <w:trPr/>
        <w:tc>
          <w:tcPr>
            <w:tcW w:w="2693" w:type="dxa"/>
            <w:tcBorders/>
            <w:shd w:fill="FFFFFF" w:val="clear"/>
            <w:vAlign w:val="center"/>
          </w:tcPr>
          <w:p>
            <w:pPr>
              <w:pStyle w:val="TableContents"/>
              <w:bidi w:val="0"/>
              <w:spacing w:before="0" w:after="283"/>
              <w:jc w:val="left"/>
              <w:rPr/>
            </w:pPr>
            <w:r>
              <w:rPr/>
              <w:t>Other U.S. governmental authorities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12" w:space="0" w:color="000000"/>
            </w:tcBorders>
            <w:shd w:fill="FFFFFF" w:val="clear"/>
            <w:tcMar>
              <w:bottom w:w="28" w:type="dxa"/>
            </w:tcMar>
            <w:vAlign w:val="center"/>
          </w:tcPr>
          <w:p>
            <w:pPr>
              <w:pStyle w:val="TableContents"/>
              <w:bidi w:val="0"/>
              <w:spacing w:before="0" w:after="283"/>
              <w:jc w:val="right"/>
              <w:rPr/>
            </w:pPr>
            <w:r>
              <w:rPr/>
              <w:t>245</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12" w:space="0" w:color="000000"/>
            </w:tcBorders>
            <w:shd w:fill="FFFFFF" w:val="clear"/>
            <w:tcMar>
              <w:bottom w:w="28" w:type="dxa"/>
            </w:tcMar>
            <w:vAlign w:val="center"/>
          </w:tcPr>
          <w:p>
            <w:pPr>
              <w:pStyle w:val="TableContents"/>
              <w:bidi w:val="0"/>
              <w:spacing w:before="0" w:after="283"/>
              <w:jc w:val="right"/>
              <w:rPr/>
            </w:pPr>
            <w:r>
              <w:rPr/>
              <w:t>416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(41.1</w:t>
            </w:r>
          </w:p>
        </w:tc>
        <w:tc>
          <w:tcPr>
            <w:tcW w:w="2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FFFFFF" w:val="clear"/>
            <w:tcMar>
              <w:bottom w:w="28" w:type="dxa"/>
            </w:tcMar>
            <w:vAlign w:val="center"/>
          </w:tcPr>
          <w:p>
            <w:pPr>
              <w:pStyle w:val="TableContents"/>
              <w:bidi w:val="0"/>
              <w:spacing w:before="0" w:after="283"/>
              <w:jc w:val="right"/>
              <w:rPr/>
            </w:pPr>
            <w:r>
              <w:rPr/>
              <w:t>926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FFFFFF" w:val="clear"/>
            <w:tcMar>
              <w:bottom w:w="28" w:type="dxa"/>
            </w:tcMar>
            <w:vAlign w:val="center"/>
          </w:tcPr>
          <w:p>
            <w:pPr>
              <w:pStyle w:val="TableContents"/>
              <w:bidi w:val="0"/>
              <w:spacing w:before="0" w:after="283"/>
              <w:jc w:val="right"/>
              <w:rPr/>
            </w:pPr>
            <w:r>
              <w:rPr/>
              <w:t>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24.8</w:t>
            </w:r>
          </w:p>
        </w:tc>
        <w:tc>
          <w:tcPr>
            <w:tcW w:w="277" w:type="dxa"/>
            <w:tcBorders/>
            <w:shd w:fill="FFFFFF" w:val="clear"/>
            <w:vAlign w:val="center"/>
          </w:tcPr>
          <w:p>
            <w:pPr>
              <w:pStyle w:val="TableContents"/>
              <w:bidi w:val="0"/>
              <w:spacing w:before="0" w:after="283"/>
              <w:ind w:left="0" w:right="0" w:hanging="180"/>
              <w:jc w:val="left"/>
              <w:rPr/>
            </w:pPr>
            <w:r>
              <w:rPr/>
              <w:t>%</w:t>
            </w:r>
          </w:p>
        </w:tc>
      </w:tr>
      <w:tr>
        <w:trPr/>
        <w:tc>
          <w:tcPr>
            <w:tcW w:w="2693" w:type="dxa"/>
            <w:tcBorders/>
            <w:shd w:fill="CCEEFF" w:val="clear"/>
            <w:vAlign w:val="center"/>
          </w:tcPr>
          <w:p>
            <w:pPr>
              <w:pStyle w:val="TableContents"/>
              <w:bidi w:val="0"/>
              <w:spacing w:before="0" w:after="283"/>
              <w:jc w:val="left"/>
              <w:rPr/>
            </w:pPr>
            <w:r>
              <w:rPr/>
              <w:t>Total research and development revenue</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7" w:type="dxa"/>
            <w:tcBorders>
              <w:bottom w:val="double" w:sz="10" w:space="0" w:color="000000"/>
            </w:tcBorders>
            <w:shd w:fill="CCEEFF" w:val="clear"/>
            <w:tcMar>
              <w:bottom w:w="28" w:type="dxa"/>
            </w:tcMar>
            <w:vAlign w:val="center"/>
          </w:tcPr>
          <w:p>
            <w:pPr>
              <w:pStyle w:val="TableContents"/>
              <w:bidi w:val="0"/>
              <w:spacing w:before="0" w:after="283"/>
              <w:jc w:val="right"/>
              <w:rPr/>
            </w:pPr>
            <w:r>
              <w:rPr/>
              <w:t>3,524</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7" w:type="dxa"/>
            <w:tcBorders>
              <w:bottom w:val="double" w:sz="10" w:space="0" w:color="000000"/>
            </w:tcBorders>
            <w:shd w:fill="CCEEFF" w:val="clear"/>
            <w:tcMar>
              <w:bottom w:w="28" w:type="dxa"/>
            </w:tcMar>
            <w:vAlign w:val="center"/>
          </w:tcPr>
          <w:p>
            <w:pPr>
              <w:pStyle w:val="TableContents"/>
              <w:bidi w:val="0"/>
              <w:spacing w:before="0" w:after="283"/>
              <w:jc w:val="right"/>
              <w:rPr/>
            </w:pPr>
            <w:r>
              <w:rPr/>
              <w:t>5,065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pPr>
            <w:r>
              <w:rPr/>
              <w:t>(30.4</w:t>
            </w:r>
          </w:p>
        </w:tc>
        <w:tc>
          <w:tcPr>
            <w:tcW w:w="2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double" w:sz="10" w:space="0" w:color="000000"/>
            </w:tcBorders>
            <w:shd w:fill="CCEEFF" w:val="clear"/>
            <w:tcMar>
              <w:bottom w:w="28" w:type="dxa"/>
            </w:tcMar>
            <w:vAlign w:val="center"/>
          </w:tcPr>
          <w:p>
            <w:pPr>
              <w:pStyle w:val="TableContents"/>
              <w:bidi w:val="0"/>
              <w:spacing w:before="0" w:after="283"/>
              <w:jc w:val="right"/>
              <w:rPr/>
            </w:pPr>
            <w:r>
              <w:rPr/>
              <w:t>7,515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9" w:type="dxa"/>
            <w:tcBorders>
              <w:bottom w:val="double" w:sz="10" w:space="0" w:color="000000"/>
            </w:tcBorders>
            <w:shd w:fill="CCEEFF" w:val="clear"/>
            <w:tcMar>
              <w:bottom w:w="28" w:type="dxa"/>
            </w:tcMar>
            <w:vAlign w:val="center"/>
          </w:tcPr>
          <w:p>
            <w:pPr>
              <w:pStyle w:val="TableContents"/>
              <w:bidi w:val="0"/>
              <w:spacing w:before="0" w:after="283"/>
              <w:jc w:val="right"/>
              <w:rPr/>
            </w:pPr>
            <w:r>
              <w:rPr/>
              <w:t>11,772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(4,257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27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Profit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for the three and six months ended June 30, 2026 was $2.4 million and $4.4 million, respectively, a decrease of 13.1% and 30.7%, respectively, compared to the same periods in 2025, due to the cost share provisions applicable to the follow-on development phase of the PBS BARDA Contract, under which the Company funds a portion of the development costs it incurs.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three and six months ended June 30, 2026 was 31.6% and 41.8%, respectively, a decrease of 13.6 percentage points and 4.6 percentage points, respectively, as compared to the same periods in 2025, reflecting the cost-share provisions of the follow-on development phase of the PBS BARDA Contract, under which the Company continues to incur development costs that are not fully reimbursable, and a lower margin on the Company’s fixed-fee MTEC contract. For the six months ended June 30, 2026, the decrease primarily reflects the lower proportion of costs billed under the follow-on development phase of that contract, partially offset by the higher gross margin realized in the first quarter of 2026 prior to the commencement of that phase.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w:t>
      </w:r>
    </w:p>
    <w:p>
      <w:pPr>
        <w:pStyle w:val="TextBody"/>
        <w:shd w:fill="FFFFFF" w:val="clear"/>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$1.7 million and $3.3 million for the three and six months ended June 30, 2026, respectively, an increase of 16.4% and 17.6%, respectively, as compared to the same period in 2025 due to an increase in non-revenue generating research and development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was $3.1 million and $5.3 million for the three and six months ended June 30, 2026, respectively, an increase of 18.0% and 5.0%, respectively, as compared to the same period in 2025 due to higher stock-based compensation associated with awards granted in the second quarter of 2026, partially offset for the six-month period by lower consultant fees.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 was $0.7 million and $0.9 million for the three and six months ended June 30, 2026, respectively, an increase of 92.1% and 33.3%, respectively, as compared to the same period in 2025 due to increased sales and marketing activities in advance of first commercial sales, including a third-party pricing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 for the three and six months ended June 30, 2026 primarily relate to interest expense associated with the Avenue Financing as well as costs related to the Company’s insurance policy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related costs increased $0.1 million and decreased $0.6 million, respectively, for the three and six months ended June 30, 2026, as compared to the comparable period in 2025 primarily due to the elimination of the expenses relating to the Company’s prior financings that were expensed during fiscal year 2025. Amortization of debt discount of $0.1 million and $0.3 million, respectively for the three and six months ended June 30, 2026 relates to amortization of the discount on the Avenue note payable.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 reflected a favorable change of approximately $6.2 million and $0.9 million, respectively, for the three and six months ended June 30, 2026 as compared to the comparable periods in 2025. Change in fair value of warrant liability was a benefit of $0.7 million and expense of $0.3 million, respectively, for the three and six months ended June 30, 2026, as compared to an expense of $5.4 million and expense of $1.2 million, respectively, for same periods in 2025. The changes reflect fluctuations in the fair value of the Company’s warrants during the three and six month periods ended June 30, 2026. The Company’s warrants are classified as liabilities and remeasured to fair value at each reporting period, with changes recognized in net loss. As a result, fluctuations in the warrant price of Public Warrants and fluctuations in the fair value of other outstanding warrants may cause significant non-cash gains or losses, leading to volatility in reported net loss.</w:t>
      </w:r>
    </w:p>
    <w:p>
      <w:pPr>
        <w:pStyle w:val="TextBody"/>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approximately $14.0 million and $15.4 million, respectively, in cash and cash equivalents, and an accumulated deficit of $63.4 million and $55.8 million, respectively. As of June 30, 2026 and December 31, 2025, the Company had approximately $14.9 million and $8.4 million, respectively, of debt outstanding of which $11.1 million and $5.5 million represented long-term debt as of such periods, respectively. The Company also had approximately $1.4 million of remaining undiscounted operating lease payments as of June 30, 2026, extending through February 2028.</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2026, the Company announced that it has received a contract modification from BARDA for the acceleration of $31.7 million from its existing contract with BARDA which included (i) a no-cost extension of the base phase of the contract, and (ii) the acceleration of certain parts of the next phase of such contract.  As part of this funding advance, the Company has committed to fund $9.7 million of the total overall development costs associated with these feature advancements.  This funding comes as part of an ongoing partnership with BARDA, which has committed $86.6 million to date under the contract with an overall value of approximately $150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an effective shelf registration statement on Form S-3 with an aggregate capacity of $50.0 million, of which approximately $12.1 million had been utilized as of June 30, 2026. Because the aggregate market value of the Common Stock held by non-affiliates is less than $75.0 million, the Company’s ability to sell securities in primary offerings under that registration statement is limited, in any twelve-month period, to one-third of the aggregate market value of the Common Stock held by non-affiliates. After giving effect to approximately $5.8 million of securities sold under that registration statement in the preceding twelve months, approximately $10.9 million remained available to the Company under that limitation based on the Company’s public float as of August 11, 2026. The amount available is not fixed and will increase or decrease with the Company’s share price and public float.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based on our current operating plan, our cash and cash equivalents, together with the PBS BARDA Contract, and the Yorkville SEPA, provide sufficient working capital to fund operations for at least one year beyond the release date of the condensed consolidated financial statements. We have based this determination on assumptions that may prove to be wrong, and we could utilize our available capital resources sooner than we currently expect. Changing circumstances could also cause us to consume capital significantly faster than we currently anticipate, and we may need to raise capital sooner or in greater amounts than currently expected because of circumstances beyond our control. To the extent additional capital is necessary, there are no assurances that we will be able to raise additional capital on favorable terms or at all, and therefore we may not be able to execute our business plans and the continued work on indications beyond expanding our burn indication.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six months ended June 30, 2026 and 2025 (in thousands):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6852" w:type="dxa"/>
        <w:jc w:val="left"/>
        <w:tblInd w:w="0" w:type="dxa"/>
        <w:tblLayout w:type="fixed"/>
        <w:tblCellMar>
          <w:top w:w="0" w:type="dxa"/>
          <w:left w:w="0" w:type="dxa"/>
          <w:bottom w:w="0" w:type="dxa"/>
          <w:right w:w="0" w:type="dxa"/>
        </w:tblCellMar>
      </w:tblPr>
      <w:tblGrid>
        <w:gridCol w:w="4775"/>
        <w:gridCol w:w="60"/>
        <w:gridCol w:w="152"/>
        <w:gridCol w:w="693"/>
        <w:gridCol w:w="103"/>
        <w:gridCol w:w="65"/>
        <w:gridCol w:w="152"/>
        <w:gridCol w:w="742"/>
        <w:gridCol w:w="110"/>
      </w:tblGrid>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(7,825</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(4,867</w:t>
            </w:r>
          </w:p>
        </w:tc>
        <w:tc>
          <w:tcPr>
            <w:tcW w:w="110" w:type="dxa"/>
            <w:tcBorders/>
            <w:shd w:fill="CCEEFF" w:val="clear"/>
            <w:vAlign w:val="center"/>
          </w:tcPr>
          <w:p>
            <w:pPr>
              <w:pStyle w:val="TableContents"/>
              <w:bidi w:val="0"/>
              <w:spacing w:before="0" w:after="283"/>
              <w:jc w:val="left"/>
              <w:rPr/>
            </w:pPr>
            <w:r>
              <w:rPr/>
              <w:t>)</w:t>
            </w:r>
          </w:p>
        </w:tc>
      </w:tr>
      <w:tr>
        <w:trPr/>
        <w:tc>
          <w:tcPr>
            <w:tcW w:w="4775" w:type="dxa"/>
            <w:tcBorders/>
            <w:shd w:fill="FFFFFF" w:val="clear"/>
            <w:vAlign w:val="center"/>
          </w:tcPr>
          <w:p>
            <w:pPr>
              <w:pStyle w:val="TableContents"/>
              <w:bidi w:val="0"/>
              <w:spacing w:before="0" w:after="283"/>
              <w:jc w:val="left"/>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6,422</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10,185</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increased to approximately $7.8 million for the six months ended June 30, 2026, as compared to $4.9 million for the six months ended June 30, 2025, primarily driven by higher net loss and higher cash used from changes in operating assets and liabilities, primarily due to a decrease in accounts payable and accrued expenses.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2026 reflects proceeds received from Avenue Financing and stock option and warrant exercises, offset by repayments of insurance notes payable. Net cash provided by financing activities of $10.2 million for the six months ended June 30, 2025 was primarily attributable to proceeds from the Avenue Financing of $8.3 million partially offset by the loan repayments on the Yorkville debt facility and 2024 Insurance Note.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Indebtedness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ability under its Avenue Financing agreement to borrow up to $15.0 million. The Company initially drew down $8.5 million in March 2025. On June 18, 2026, the Company drew down the second financing tranche under the Avenue Financing following the achievement of the required funding conditions. The Company received net proceeds of approximately $6.5 million.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under the Avenue Financing mature on March 1, 2028, with an interest-only payment period of no less than 15 months, which has been extended to 24 months upon the achievement of certain milestones prior to the end of such 15-month period as described in the Tranche 2 Milestone Date (as defined in the Supplement to the Loan Agreement). The Company achieved the Tranche 2 Milestone during the three months ended June 30, 2026, and as such, the interest-only period was extended to 24 months.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Avenue Financing also includes warrant coverage equal to 8.5% of the total funding commitment from Avenue, with an exercise price equal to $1.66.</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six-month period ended June 30, 2026, the Company did not have any related party transactions.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we did not have any off-balance sheet arrangements, as defined in Item 303(a)(4)(ii) of SEC Regulation S-K.</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and related disclosures requires us to make estimates and assumptions that affect the reported amounts of assets and liabilities, costs and expenses and the disclosure of contingent assets and liabilities in our financial statements and accompanying notes. On an ongoing basis, we evaluate our estimates which include, but are not limited to, revenue recognition, warrant liabilities, fair value of certain debt, stock-based compensation expense, stock issued for transaction costs, the net realizable value of inventory, right-of-use assets, and income tax valuation allowances.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could differ from those estimates under different assumptions or conditions.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are described under the heading “Management’s Discussion and Analysis of Financial Condition and Results of Operations — Critical Accounting Policies” in our Annual Report on Form 10-K for the year ended December 31, 2025, which was filed with the SEC on March 25, 2026. During the six months ended June 30, 2026, there were no material changes to our critical accounting policies from those previously disclosed.</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Recent Accounting Pronouncements, of the notes to our condensed consolidated financial statements included elsewhere in this Form 10-Q for recently adopted accounting standards and recently issued accounting standards as of the dates of the statement of financial position included in this Form 10-Q.</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an emerging growth company, we may take advantage of specified reduced disclosure and other requirements that are otherwise applicable generally to public companies. These provisions include: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w:t>
            </w:r>
          </w:p>
        </w:tc>
      </w:tr>
    </w:tbl>
    <w:p>
      <w:pPr>
        <w:pStyle w:val="TextBody"/>
        <w:shd w:fill="FFFFFF" w:val="clear"/>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exception from compliance with the auditor attestation requirements of Section 404 of the Sarbanes-Oxley Act of 2002, as amended;</w:t>
            </w:r>
          </w:p>
        </w:tc>
      </w:tr>
    </w:tbl>
    <w:p>
      <w:pPr>
        <w:pStyle w:val="TextBody"/>
        <w:shd w:fill="FFFFFF" w:val="clear"/>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reduced disclosure about our executive compensation arrangements in our periodic reports, proxy statements and registration statements;</w:t>
            </w:r>
          </w:p>
        </w:tc>
      </w:tr>
    </w:tbl>
    <w:p>
      <w:pPr>
        <w:pStyle w:val="TextBody"/>
        <w:shd w:fill="FFFFFF" w:val="clear"/>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exemptions from the requirements of holding non-binding advisory votes on executive compensation or golden parachute arrangements; and</w:t>
            </w:r>
          </w:p>
        </w:tc>
      </w:tr>
    </w:tbl>
    <w:p>
      <w:pPr>
        <w:pStyle w:val="TextBody"/>
        <w:shd w:fill="FFFFFF" w:val="clear"/>
        <w:bidi w:val="0"/>
        <w:spacing w:before="0" w:after="0"/>
        <w:ind w:left="0" w:right="0" w:hanging="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provisions until the last day of the fiscal year ending after the fifth anniversary of the Company’s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and, similar to emerging growth companies, smaller reporting companies have reduced disclosure obligations regarding executive compensation.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Item 305(e) of Regulation S-K, the Company is a smaller reporting company and is not required to provide the information required by this Item.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that term is defined in Rules 13a-15(f) and 15d-15(f) under the Exchange Act). Our management, under the supervision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Material Weakness:</w:t>
      </w:r>
      <w:r>
        <w:rPr>
          <w:rFonts w:ascii="Times New Roman;Times;Serif" w:hAnsi="Times New Roman;Times;Serif"/>
          <w:b w:val="false"/>
          <w:i w:val="false"/>
          <w:caps w:val="false"/>
          <w:smallCaps w:val="false"/>
          <w:sz w:val="20"/>
        </w:rPr>
        <w:t xml:space="preserve"> Our financial statement close process controls, including controls over account reconciliations, transaction processing, and financial reporting review, did not operate consistently or with sufficient precision to ensure timely performance and review, including appropriate oversight of financial statement reporting.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management concluded that, as of June 30, 2026, our disclosure controls and procedures were not effective due to the material weakness in internal control over financial reporting described below. As discussed in Item 9A of our Form 10-K for the year ended December 31, 2025, we identified a material weakness in our internal control over financial reporting as well as a lack of effective controls over the COSO principles including control environment, risk assessment, control activities, information and communications and monitoring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Plan for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generally requires making changes to how controls are designed and implemented and then adhering to those changes for a sufficient period of time such that the effectiveness of those changes is demonstrated with an appropriate amount of consistency. In response to the material weakness, we implemented, and are continuing to implement and monitor, measures designed to improve our internal control over financial reporting. These efforts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appointing a new Chief Financial Officer with extensive technical accounting and public company financial reporting experience, with remediation of the material weakness as a specific objective, and supplemented accounting personnel to address capacity gaps;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88"/>
        <w:gridCol w:w="9942"/>
      </w:tblGrid>
      <w:tr>
        <w:trPr/>
        <w:tc>
          <w:tcPr>
            <w:tcW w:w="7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99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completing a full-scope documentation and assessment of the design of our internal control over financial reporting, including controls over the financial statement close process and account reconciliations;</w:t>
            </w:r>
          </w:p>
        </w:tc>
      </w:tr>
      <w:tr>
        <w:trPr/>
        <w:tc>
          <w:tcPr>
            <w:tcW w:w="7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942"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xml:space="preserve">● </w:t>
            </w:r>
          </w:p>
        </w:tc>
        <w:tc>
          <w:tcPr>
            <w:tcW w:w="99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during 2025, enhancing the functionality of our enterprise resource planning system to support certain key financial processes and controls and to enforce certain segregation of duties through automation and approval workflows; and</w:t>
            </w:r>
          </w:p>
        </w:tc>
      </w:tr>
      <w:tr>
        <w:trPr/>
        <w:tc>
          <w:tcPr>
            <w:tcW w:w="7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942"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99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appropriate accounting staffing now in place, engaging external specialists where their use is warranted, including in the areas of technical accounting, SEC reporting, valuation and tax. Management retains responsibility for the work of those specialists, evaluating their qualifications and objectivity and reviewing and approving their analyses and conclusions.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we implemented are subject to continued management review supported by confirmation and testing, as well as audit committee oversight. Management and the Audit Committee remain committed to the implementation of remediation efforts to address the material weakness. We will continue to implement measures to remedy our internal control deficiencies, though there can be no assurance that our efforts will be successful or avoid potential future material weaknesses. In addition, until remediation steps have been completed and are operated for a sufficient period of time, and subsequent evaluation of their effectiveness is completed, the material weaknesses previously disclosed, and as described above, will continue to exist. These controls have been implemented and management is performing its own testing of their operation for the first and second quarters of 2026. Management expects that this testing, together with the testing performed in the second half of 2026, will support a conclusion that the controls are appropriately designed and operating effectively and that the material weakness has been remediated.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remediation efforts in connection with the material weakness described above, there were no changes in our internal control over financial reporting (as defined in Rule 13a-15(f) of the Exchange Act) that occurred during the quarter ended June 30, 2026 that have materially affected, or are reasonably likely to materially affect, our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 party to any material legal proceedings or pending claims. From time to time, the Company may be subject to various legal proceedings and claims that arise in the ordinary course of its business activities, none of which we believe are material or would be expected to have, individually or in the aggregate, a material adverse effect on our business, financial condition, cash flows or results of operations.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in this Quarterly Report include the risk factors described in our Annual Report on Form 10-K filed with the SEC on March 25, 2026 and in the Registration Statement on Form S-4 filed with the SEC on January 5, 2024, as amended. Any of those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Annual Report on Form 10-K filed with the SEC on March 25, 2026 and in the Registration Statement on Form S-4 filed with the SEC on January 5, 2024, as amended. We may disclose changes to such factors or disclose additional factors from time to time in our future filings with the SEC.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18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material change in the planned use of the proceeds from the Business Combination, as is described in the Company’s final prospectus (Registration No. 333-275218), as filed with the SEC on January 2, 2024. Additionally, there has been no material change in the planned use of proceeds from the Avenue Financing, as is described in the Company’s Current Report on Form 8-K as filed with the SEC on March 26, 2025 or the planned use of proceeds from the Hudson Financing, as described in the prospectus supplement to the Form S-3 (Registration No. 333-282681), filed on October 22,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2"/>
        <w:gridCol w:w="60"/>
        <w:gridCol w:w="9523"/>
      </w:tblGrid>
      <w:tr>
        <w:trPr/>
        <w:tc>
          <w:tcPr>
            <w:tcW w:w="62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w:t>
            </w:r>
          </w:p>
        </w:tc>
        <w:tc>
          <w:tcPr>
            <w:tcW w:w="60" w:type="dxa"/>
            <w:tcBorders/>
            <w:tcMar>
              <w:bottom w:w="0" w:type="dxa"/>
            </w:tcMar>
            <w:vAlign w:val="center"/>
          </w:tcPr>
          <w:p>
            <w:pPr>
              <w:pStyle w:val="TableContents"/>
              <w:bidi w:val="0"/>
              <w:spacing w:before="0" w:after="283"/>
              <w:jc w:val="left"/>
              <w:rPr/>
            </w:pPr>
            <w:r>
              <w:rPr/>
              <w:t> </w:t>
            </w:r>
          </w:p>
        </w:tc>
        <w:tc>
          <w:tcPr>
            <w:tcW w:w="952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62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23" w:type="dxa"/>
            <w:tcBorders/>
            <w:shd w:fill="CCEE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Business Combination Agreement, dated as of April 11, 2023, by and among Rosecliff Acquisition Corp I, Ghost Merger Sub I Inc., Ghost Merger Sub II and Spectral MD Holdings Ltd. (incorporated by reference to the Company’s Form 8-K, filed with the SEC on April 17, 2023).</w:t>
              </w:r>
            </w:hyperlink>
          </w:p>
        </w:tc>
      </w:tr>
      <w:tr>
        <w:trPr/>
        <w:tc>
          <w:tcPr>
            <w:tcW w:w="622"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23" w:type="dxa"/>
            <w:tcBorders/>
            <w:shd w:fill="FFFFFF" w:val="clear"/>
            <w:tcMar>
              <w:bottom w:w="0" w:type="dxa"/>
            </w:tcMar>
            <w:vAlign w:val="center"/>
          </w:tcPr>
          <w:p>
            <w:pPr>
              <w:pStyle w:val="TableContents"/>
              <w:bidi w:val="0"/>
              <w:spacing w:before="0" w:after="283"/>
              <w:jc w:val="left"/>
              <w:rPr/>
            </w:pPr>
            <w:hyperlink w:anchor="ea030144701ex31-1.htm">
              <w:r>
                <w:rPr>
                  <w:rStyle w:val="InternetLink"/>
                  <w:rFonts w:ascii="Times New Roman;Times;Serif" w:hAnsi="Times New Roman;Times;Serif"/>
                  <w:sz w:val="20"/>
                </w:rPr>
                <w:t>Certification of Principal Executive Officer</w:t>
              </w:r>
            </w:hyperlink>
          </w:p>
        </w:tc>
      </w:tr>
      <w:tr>
        <w:trPr/>
        <w:tc>
          <w:tcPr>
            <w:tcW w:w="62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23" w:type="dxa"/>
            <w:tcBorders/>
            <w:shd w:fill="CCEEFF" w:val="clear"/>
            <w:tcMar>
              <w:bottom w:w="0" w:type="dxa"/>
            </w:tcMar>
            <w:vAlign w:val="center"/>
          </w:tcPr>
          <w:p>
            <w:pPr>
              <w:pStyle w:val="TableContents"/>
              <w:bidi w:val="0"/>
              <w:spacing w:before="0" w:after="283"/>
              <w:jc w:val="left"/>
              <w:rPr/>
            </w:pPr>
            <w:hyperlink w:anchor="ea030144701ex31-2.htm">
              <w:r>
                <w:rPr>
                  <w:rStyle w:val="InternetLink"/>
                  <w:rFonts w:ascii="Times New Roman;Times;Serif" w:hAnsi="Times New Roman;Times;Serif"/>
                  <w:sz w:val="20"/>
                </w:rPr>
                <w:t>Certification of Chief Financial Officer (Principal Financial and Accounting Officer)</w:t>
              </w:r>
            </w:hyperlink>
          </w:p>
        </w:tc>
      </w:tr>
      <w:tr>
        <w:trPr/>
        <w:tc>
          <w:tcPr>
            <w:tcW w:w="622"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23" w:type="dxa"/>
            <w:tcBorders/>
            <w:shd w:fill="FFFFFF" w:val="clear"/>
            <w:tcMar>
              <w:bottom w:w="0" w:type="dxa"/>
            </w:tcMar>
            <w:vAlign w:val="center"/>
          </w:tcPr>
          <w:p>
            <w:pPr>
              <w:pStyle w:val="TableContents"/>
              <w:bidi w:val="0"/>
              <w:spacing w:before="0" w:after="283"/>
              <w:jc w:val="left"/>
              <w:rPr/>
            </w:pPr>
            <w:hyperlink w:anchor="ea030144701ex32.htm">
              <w:r>
                <w:rPr>
                  <w:rStyle w:val="InternetLink"/>
                  <w:rFonts w:ascii="Times New Roman;Times;Serif" w:hAnsi="Times New Roman;Times;Serif"/>
                  <w:sz w:val="20"/>
                </w:rPr>
                <w:t>18 U.S.C. Section 1350 Certification</w:t>
              </w:r>
            </w:hyperlink>
          </w:p>
        </w:tc>
      </w:tr>
      <w:tr>
        <w:trPr/>
        <w:tc>
          <w:tcPr>
            <w:tcW w:w="62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22"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2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2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22"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2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2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22"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2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22"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firstLine="36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1865"/>
        <w:gridCol w:w="545"/>
        <w:gridCol w:w="3695"/>
      </w:tblGrid>
      <w:tr>
        <w:trPr/>
        <w:tc>
          <w:tcPr>
            <w:tcW w:w="186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SPECTRAL AI, INC.</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Vincent S. Capone</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Vincent S. Capone</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McGuire</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McGuire</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(Principal Financial and Accounting Officer)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1" w:name="ea030144701ex31-1.htm"/>
      <w:bookmarkStart w:id="22" w:name="ksea030144701ex311"/>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1935" w:right="1575"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RULES 13A-14(A) AND 15D-14(A) </w:t>
        <w:br/>
        <w:t>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357"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Vincent S. Capone, certify that:</w:t>
      </w:r>
    </w:p>
    <w:p>
      <w:pPr>
        <w:pStyle w:val="TextBody"/>
        <w:bidi w:val="0"/>
        <w:spacing w:before="0" w:after="0"/>
        <w:ind w:left="1079" w:right="0" w:hanging="72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215"/>
        <w:gridCol w:w="6965"/>
      </w:tblGrid>
      <w:tr>
        <w:trPr/>
        <w:tc>
          <w:tcPr>
            <w:tcW w:w="215" w:type="dxa"/>
            <w:tcBorders/>
            <w:vAlign w:val="center"/>
          </w:tcPr>
          <w:p>
            <w:pPr>
              <w:pStyle w:val="TableContents"/>
              <w:bidi w:val="0"/>
              <w:spacing w:before="0" w:after="283"/>
              <w:jc w:val="left"/>
              <w:rPr/>
            </w:pPr>
            <w:r>
              <w:rPr/>
              <w:t>1.</w:t>
            </w:r>
          </w:p>
        </w:tc>
        <w:tc>
          <w:tcPr>
            <w:tcW w:w="6965" w:type="dxa"/>
            <w:tcBorders/>
            <w:vAlign w:val="center"/>
          </w:tcPr>
          <w:p>
            <w:pPr>
              <w:pStyle w:val="TableContents"/>
              <w:bidi w:val="0"/>
              <w:spacing w:before="0" w:after="283"/>
              <w:jc w:val="both"/>
              <w:rPr/>
            </w:pPr>
            <w:r>
              <w:rPr/>
              <w:t>I have reviewed this Quarterly Report on Form 10-Q of Spectral AI, Inc.;</w:t>
            </w:r>
          </w:p>
        </w:tc>
      </w:tr>
    </w:tbl>
    <w:p>
      <w:pPr>
        <w:pStyle w:val="TextBody"/>
        <w:bidi w:val="0"/>
        <w:spacing w:before="0" w:after="0"/>
        <w:ind w:left="359" w:right="4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59" w:right="258"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left"/>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079" w:right="17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a)</w:t>
            </w:r>
          </w:p>
        </w:tc>
        <w:tc>
          <w:tcPr>
            <w:tcW w:w="10023" w:type="dxa"/>
            <w:tcBorders/>
            <w:vAlign w:val="center"/>
          </w:tcPr>
          <w:p>
            <w:pPr>
              <w:pStyle w:val="TableContents"/>
              <w:bidi w:val="0"/>
              <w:spacing w:before="0" w:after="283"/>
              <w:jc w:val="left"/>
              <w:rPr/>
            </w:pPr>
            <w:r>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 and</w:t>
            </w:r>
          </w:p>
        </w:tc>
      </w:tr>
    </w:tbl>
    <w:p>
      <w:pPr>
        <w:pStyle w:val="TextBody"/>
        <w:bidi w:val="0"/>
        <w:spacing w:before="0" w:after="0"/>
        <w:ind w:left="1079" w:right="179"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left"/>
              <w:rPr/>
            </w:pPr>
            <w:r>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5.</w:t>
            </w:r>
          </w:p>
        </w:tc>
        <w:tc>
          <w:tcPr>
            <w:tcW w:w="10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360" w:right="0" w:hanging="0"/>
        <w:jc w:val="left"/>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75"/>
        <w:gridCol w:w="5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Vincent S. Capone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S. Capone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90" w:type="dxa"/>
            <w:tcBorders/>
            <w:vAlign w:val="center"/>
          </w:tcPr>
          <w:p>
            <w:pPr>
              <w:pStyle w:val="TableContents"/>
              <w:bidi w:val="0"/>
              <w:spacing w:before="0" w:after="283"/>
              <w:jc w:val="left"/>
              <w:rPr/>
            </w:pPr>
            <w:r>
              <w:rPr/>
              <w:t>Chief Executive Officer (Principal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144701ex31-2.htm"/>
      <w:bookmarkStart w:id="24" w:name="ksea030144701ex312"/>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RULES 13A-14(A) AND 15D-14(A)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McGuire, certify that:</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215"/>
        <w:gridCol w:w="6965"/>
      </w:tblGrid>
      <w:tr>
        <w:trPr/>
        <w:tc>
          <w:tcPr>
            <w:tcW w:w="215" w:type="dxa"/>
            <w:tcBorders/>
            <w:vAlign w:val="center"/>
          </w:tcPr>
          <w:p>
            <w:pPr>
              <w:pStyle w:val="TableContents"/>
              <w:bidi w:val="0"/>
              <w:spacing w:before="0" w:after="283"/>
              <w:jc w:val="left"/>
              <w:rPr/>
            </w:pPr>
            <w:r>
              <w:rPr/>
              <w:t>1.</w:t>
            </w:r>
          </w:p>
        </w:tc>
        <w:tc>
          <w:tcPr>
            <w:tcW w:w="6965" w:type="dxa"/>
            <w:tcBorders/>
            <w:vAlign w:val="center"/>
          </w:tcPr>
          <w:p>
            <w:pPr>
              <w:pStyle w:val="TableContents"/>
              <w:bidi w:val="0"/>
              <w:spacing w:before="0" w:after="283"/>
              <w:jc w:val="both"/>
              <w:rPr/>
            </w:pPr>
            <w:r>
              <w:rPr/>
              <w:t>I have reviewed this Quarterly Report on Form 10-Q of Spectral AI,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left"/>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a)</w:t>
            </w:r>
          </w:p>
        </w:tc>
        <w:tc>
          <w:tcPr>
            <w:tcW w:w="10023" w:type="dxa"/>
            <w:tcBorders/>
            <w:vAlign w:val="center"/>
          </w:tcPr>
          <w:p>
            <w:pPr>
              <w:pStyle w:val="TableContents"/>
              <w:bidi w:val="0"/>
              <w:spacing w:before="0" w:after="283"/>
              <w:jc w:val="left"/>
              <w:rPr/>
            </w:pPr>
            <w:r>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left"/>
              <w:rPr/>
            </w:pPr>
            <w:r>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left"/>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75"/>
        <w:gridCol w:w="2225"/>
      </w:tblGrid>
      <w:tr>
        <w:trPr/>
        <w:tc>
          <w:tcPr>
            <w:tcW w:w="75" w:type="dxa"/>
            <w:tcBorders/>
            <w:vAlign w:val="center"/>
          </w:tcPr>
          <w:p>
            <w:pPr>
              <w:pStyle w:val="TableContents"/>
              <w:bidi w:val="0"/>
              <w:spacing w:before="0" w:after="283"/>
              <w:jc w:val="left"/>
              <w:rPr/>
            </w:pPr>
            <w:r>
              <w:rPr/>
              <w:t> </w:t>
            </w:r>
          </w:p>
        </w:tc>
        <w:tc>
          <w:tcPr>
            <w:tcW w:w="2225" w:type="dxa"/>
            <w:tcBorders>
              <w:bottom w:val="single" w:sz="12" w:space="0" w:color="000000"/>
            </w:tcBorders>
            <w:tcMar>
              <w:bottom w:w="28" w:type="dxa"/>
            </w:tcMar>
            <w:vAlign w:val="center"/>
          </w:tcPr>
          <w:p>
            <w:pPr>
              <w:pStyle w:val="TableContents"/>
              <w:bidi w:val="0"/>
              <w:spacing w:before="0" w:after="283"/>
              <w:jc w:val="left"/>
              <w:rPr>
                <w:strike w:val="false"/>
                <w:dstrike w:val="false"/>
                <w:u w:val="none"/>
                <w:effect w:val="none"/>
              </w:rPr>
            </w:pPr>
            <w:r>
              <w:rPr>
                <w:strike w:val="false"/>
                <w:dstrike w:val="false"/>
                <w:u w:val="none"/>
                <w:effect w:val="none"/>
              </w:rPr>
              <w:t>/s/ David McGuire</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David McGuire</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5" w:name="ea030144701ex32.htm"/>
      <w:bookmarkStart w:id="26" w:name="ksea030144701ex32"/>
      <w:bookmarkEnd w:id="25"/>
      <w:bookmarkEnd w:id="26"/>
      <w:r>
        <w:rPr>
          <w:rFonts w:ascii="Times New Roman;Times;Serif" w:hAnsi="Times New Roman;Times;Serif"/>
          <w:b/>
          <w:i w:val="false"/>
          <w:caps w:val="false"/>
          <w:smallCaps w:val="false"/>
          <w:sz w:val="20"/>
        </w:rPr>
        <w:t>Exhibit 32</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(subsections (a) and (b) of Section 1350, Chapter 63 of Title 18, United States Code), each of the undersigned officers of Spectral AI, Inc. (the “Company”), does hereby certify, to such officer’s knowledge, that: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on Form 10-Q for the period ended June 30, 2026,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165" w:type="dxa"/>
        <w:jc w:val="left"/>
        <w:tblInd w:w="0" w:type="dxa"/>
        <w:shd w:fill="FFFFFF" w:val="clear"/>
        <w:tblLayout w:type="fixed"/>
        <w:tblCellMar>
          <w:top w:w="0" w:type="dxa"/>
          <w:left w:w="0" w:type="dxa"/>
          <w:bottom w:w="0" w:type="dxa"/>
          <w:right w:w="0" w:type="dxa"/>
        </w:tblCellMar>
      </w:tblPr>
      <w:tblGrid>
        <w:gridCol w:w="1970"/>
        <w:gridCol w:w="545"/>
        <w:gridCol w:w="3650"/>
      </w:tblGrid>
      <w:tr>
        <w:trPr/>
        <w:tc>
          <w:tcPr>
            <w:tcW w:w="1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11, 2026</w:t>
            </w:r>
          </w:p>
        </w:tc>
        <w:tc>
          <w:tcPr>
            <w:tcW w:w="4195" w:type="dxa"/>
            <w:gridSpan w:val="2"/>
            <w:tcBorders>
              <w:bottom w:val="single" w:sz="12" w:space="0" w:color="000000"/>
            </w:tcBorders>
            <w:shd w:fill="FFFFFF" w:val="clear"/>
            <w:tcMar>
              <w:bottom w:w="28" w:type="dxa"/>
            </w:tcMar>
            <w:vAlign w:val="center"/>
          </w:tcPr>
          <w:p>
            <w:pPr>
              <w:pStyle w:val="TableContents"/>
              <w:bidi w:val="0"/>
              <w:spacing w:before="0" w:after="283"/>
              <w:jc w:val="left"/>
              <w:rPr/>
            </w:pPr>
            <w:r>
              <w:rPr/>
              <w:t>/s/ Vincent S. Capone</w:t>
            </w:r>
          </w:p>
        </w:tc>
      </w:tr>
      <w:tr>
        <w:trPr/>
        <w:tc>
          <w:tcPr>
            <w:tcW w:w="197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Vincent S. Capone</w:t>
            </w:r>
          </w:p>
        </w:tc>
      </w:tr>
      <w:tr>
        <w:trPr/>
        <w:tc>
          <w:tcPr>
            <w:tcW w:w="197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97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70" w:type="dxa"/>
            <w:tcBorders/>
            <w:shd w:fill="FFFFFF" w:val="clear"/>
            <w:vAlign w:val="center"/>
          </w:tcPr>
          <w:p>
            <w:pPr>
              <w:pStyle w:val="TableContents"/>
              <w:bidi w:val="0"/>
              <w:spacing w:before="0" w:after="283"/>
              <w:jc w:val="left"/>
              <w:rPr/>
            </w:pPr>
            <w:r>
              <w:rPr/>
              <w:t> </w:t>
            </w:r>
          </w:p>
        </w:tc>
        <w:tc>
          <w:tcPr>
            <w:tcW w:w="4195" w:type="dxa"/>
            <w:gridSpan w:val="2"/>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11, 2026</w:t>
            </w:r>
          </w:p>
        </w:tc>
        <w:tc>
          <w:tcPr>
            <w:tcW w:w="4195" w:type="dxa"/>
            <w:gridSpan w:val="2"/>
            <w:tcBorders>
              <w:bottom w:val="single" w:sz="12" w:space="0" w:color="000000"/>
            </w:tcBorders>
            <w:shd w:fill="FFFFFF" w:val="clear"/>
            <w:tcMar>
              <w:bottom w:w="28" w:type="dxa"/>
            </w:tcMar>
            <w:vAlign w:val="center"/>
          </w:tcPr>
          <w:p>
            <w:pPr>
              <w:pStyle w:val="TableContents"/>
              <w:bidi w:val="0"/>
              <w:spacing w:before="0" w:after="283"/>
              <w:jc w:val="left"/>
              <w:rPr/>
            </w:pPr>
            <w:r>
              <w:rPr/>
              <w:t>/s/ David McGuire</w:t>
            </w:r>
          </w:p>
        </w:tc>
      </w:tr>
      <w:tr>
        <w:trPr/>
        <w:tc>
          <w:tcPr>
            <w:tcW w:w="197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McGuire</w:t>
            </w:r>
          </w:p>
        </w:tc>
      </w:tr>
      <w:tr>
        <w:trPr/>
        <w:tc>
          <w:tcPr>
            <w:tcW w:w="197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97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498/000114036123018567/brhc20051436_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16317</Words>
  <Characters>88409</Characters>
  <CharactersWithSpaces>106072</CharactersWithSpaces>
  <Paragraphs>4953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