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333-282681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270,900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offering in a registered direct offering to certain existing investors in the United Kingdom (the “Investors”) 270,900 shares (the “Shares”) of our common stock, $0.0001 par value per share (our “Common Stock”), at an offering price of $1.66. This offering is part of the existing offering relating to our prospectus dated October 31, 2024. Investors have an option (the “Option”) to purchase additional Shares up to the lesser of (i) $5,000,000 in aggregate proceeds or (ii) the remaining available capacity based on one-third of our public float pursuant to General Instruction I.B.6 of Form S-3 (as described herein). In the event the Option is exercised, the price of any Shares sold shall be the lesser (x) the closing price of our Common Stock on the previous trading day or (y) the 5-day volume-weighted average price of our Common Stock. Each of the securities offered to the Investors will be issued pursuant to this prospectus supplement, the accompanying base prospectus, and a securities purchase agreement, dated December 6, 2024, by and among us and the Investors (the “Securities Purchase Agreement”).</w:t>
      </w:r>
    </w:p>
    <w:p>
      <w:pPr>
        <w:spacing w:after="0" w:line="192"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engaged SP Angel Corporate Finance LLP (the “placement agent”) to act as our exclusive placement agent in connection with this offering. The placement agent has agreed to use its reasonable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 We have agreed to pay placement agent fees to the placement agent as set forth in the table below, which assumes that we sell all of the securities offered by this prospectus. See “Plan of Distribution” on page S-12 of this prospectus for more information regarding these arrangements.</w:t>
      </w:r>
    </w:p>
    <w:p>
      <w:pPr>
        <w:spacing w:after="0" w:line="187"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(“Nasdaq”) under the symbol “MDAI.” On December 6, 2024 the closing price for our Common Stock, as reported on Nasdaq, was $2.09 per share.</w:t>
      </w:r>
    </w:p>
    <w:p>
      <w:pPr>
        <w:spacing w:after="0" w:line="162"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4, 2024, the aggregate market value of our outstanding Common Stock held by non-affiliates, or public float, was approximately $26.1 million, based on 20,753,698 shares of outstanding Common Stock, of which approximately 8,242,396 shares were held by affiliates, and a price of $2.09 per share, which was the price at which our Common Stock was last sold on Nasdaq on December 6, 2024. We have not sold any securities pursuant to General Instruction I.B.6 of Form S-3 during the prior 12-calendar month period that ends on and includes the date of this prospectus supplement (excluding this offering and the offering on November 20, 2024). Accordingly, based on the foregoing, we are currently eligible under General Instruction I.B.6 of Form S-3 to offer and sell shares of our Common Stock having an aggregate offering price of up to approximately $8.5 million. Pursuant to General Instruction I.B.6 of Form S-3, in no event will we sell securities in a public primary offering with a value exceeding one-third of our public float in any 12-month period so long as our public float remains below $75.0 million.</w:t>
      </w:r>
    </w:p>
    <w:p>
      <w:pPr>
        <w:spacing w:after="0" w:line="188"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“Risk Factors” on page S-5 of this prospectus supplement and the accompanying base prospectus, as well as the risk factors incorporated by reference into this prospectus supplement and accompanying base prospectus for a discussion of the factors you should carefully consider before deciding to purchase these securities.</w:t>
      </w:r>
    </w:p>
    <w:p>
      <w:pPr>
        <w:spacing w:after="0" w:line="17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accompanying base prospectus is truthful or complete. Any representation to the contrary is a criminal offense.</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Share of</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1.66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Placement agent fees</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31,478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418,215</w:t>
            </w:r>
          </w:p>
        </w:tc>
      </w:tr>
    </w:tbl>
    <w:p>
      <w:pPr>
        <w:spacing w:after="0" w:line="198" w:lineRule="exact"/>
        <w:rPr>
          <w:sz w:val="24"/>
          <w:szCs w:val="24"/>
          <w:color w:val="auto"/>
        </w:rPr>
      </w:pPr>
    </w:p>
    <w:p>
      <w:pPr>
        <w:ind w:left="220" w:hanging="212"/>
        <w:spacing w:after="0" w:line="282" w:lineRule="auto"/>
        <w:tabs>
          <w:tab w:leader="none" w:pos="27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placement agents for certain of their offering-related expenses. See “Plan of Distribution” for additional information regarding placement agent fees and estimated expenses.</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delivery to purchasers of the securities offered and sold in this offering is expected to be made on or about December 9, 2024, subject to satisfaction of certain customary closing conditions.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December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80" w:type="dxa"/>
            <w:vAlign w:val="bottom"/>
            <w:gridSpan w:val="4"/>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4"/>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0" w:type="dxa"/>
            <w:vAlign w:val="bottom"/>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024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 SUPPLEMENT</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176"/>
        </w:trPr>
        <w:tc>
          <w:tcPr>
            <w:tcW w:w="34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680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960" w:type="dxa"/>
            <w:vAlign w:val="bottom"/>
            <w:tcBorders>
              <w:top w:val="single" w:sz="8" w:color="CCEEFF"/>
            </w:tcBorders>
            <w:gridSpan w:val="1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44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176"/>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176"/>
        </w:trPr>
        <w:tc>
          <w:tcPr>
            <w:tcW w:w="15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8660" w:type="dxa"/>
            <w:vAlign w:val="bottom"/>
            <w:tcBorders>
              <w:top w:val="single" w:sz="8" w:color="CCEEFF"/>
            </w:tcBorders>
            <w:gridSpan w:val="1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18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175"/>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176"/>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4"/>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0" w:type="dxa"/>
            <w:vAlign w:val="bottom"/>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800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SPECTRAL AI, INC.</w:t>
            </w:r>
          </w:p>
        </w:tc>
        <w:tc>
          <w:tcPr>
            <w:tcW w:w="798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18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are part of a registration statement on Form S-3 (File No. 333-282681) that we filed with the Securities and Exchange Commission (the “SEC”) on October 16, 2024, and that was declared effective by the SEC on October 31, 2024 using a “shelf” registration process. This document is in two parts. The first part is this prospectus supplement, which describes the specific terms of this offering and also adds to and updates information contained in the accompanying base prospectus and the documents incorporated by reference herein. The second part, the accompanying base prospectus, provides more general information, some of which may not apply to this offering. Generally, when we refer to this prospectus, we are referring to both the prospectus supplement and the accompanying base prospectus combined. To the extent there is a conflict between the information contained in this prospectus supplement and the information contained in the accompanying base prospectus or any document incorporated by reference therein filed prior to the date of this prospectus supplement, you should rely on the information in this prospectus supplement. If any statement in one of these documents is inconsistent with a statement in another document having a later date—for example, a document incorporated by reference in the accompanying base prospectus—the statement in the document having the later date modifies or supersedes the earlier statement.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supplement or the accompanying base prospectus or incorporated by reference herein or therein. We have not authorized, and the placement agent has not authorized, anyone to provide you with information that is different. The information contained in this prospectus supplement or the accompanying base prospectus or incorporated by reference herein or therein is accurate only as of the respective dates thereof, regardless of the time of delivery of this prospectus supplement and the accompanying base prospectus or of any sale of our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herein by reference as exhibits to the registration statement, and you may obtain copies of those documents as described below in the section entitled “Where You Can Find More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important for you to read and consider all information contained in this prospectus supplement and the accompanying base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base prospectus,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contain and incorporate by reference market data and industry statistics and forecasts that are based on independent industry publications and other publicly-available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supplement, accompanying base prospectus or the documents incorporated herein by reference, these estimates involve risks and uncertainties and are subject to change based on various factors, including those discussed in the section entitled “Risk Factors” in this prospectus supplement and the accompanying base prospectus, and under similar headings in the other documents that are incorporated by reference herein and therein. Accordingly, investors should not place undue reliance on this information.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offering to sell, and seeking offers to buy, the securities offered by this prospectus supplement only in jurisdictions where offers and sales are permitted. The distribution of this prospectus supplement and the accompanying base prospectus and the offering of the securities offered by this prospectus supplement in certain jurisdictions may be restricted by law. Persons outside the United States who come into possession of this prospectus supplement and the accompanying base prospectus must inform themselves about, and observe any restrictions relating to, the offering of the securities and the distribution of this prospectus supplement and the accompanying base prospectus outside the United States.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“Spectral,” “the Company,” “we,” “our,” or “us” mean Spectral AI, Inc., a Delaware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7333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020" cy="733361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certain information contained elsewhere in this prospectus supplement, in the accompanying base prospectus and in the documents incorporated by reference herein and therein. This summary is not complete and does not contain all of the information that you should consider before making an investment decision. For a more complete understanding of the Company, you should read and consider carefully the more detailed information included in this prospectus supplement and the accompanying base prospectus, including the factors described under the heading “Risk Factors,” on page S-5 of this prospectus supplement, the “Risk Factors” section beginning on page 4 of the accompanying base prospectus as well as the information incorporated herein and therein by reference, before making an investment decision.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AI company focused on predictive medical diagnostics. Our DeepView System uses proprietary AI algorithms to distinguish between fully damaged, partially damaged and healthy human tissue characters invisible to the naked eye, at the initial time point of wound presentation. The DeepView System delivers a binary prediction on the wounds capacity to heal or not-heal by a specified time point in the future. Our DeepView System’s output is specifically engineered to assist the physician in making a more accurate, timely and informed decision regarding the treatment of the patient’s wounds. Our focus from 2013 through 2021 was on the burn indication. In 2022, we expanded our focus to include the DFU indication.</w:t>
      </w:r>
    </w:p>
    <w:p>
      <w:pPr>
        <w:spacing w:after="0" w:line="19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highlight w:val="white"/>
        </w:rPr>
        <w:t>Spectral AI is devoting substantially all of its efforts towards research and development of its DeepView</w:t>
      </w:r>
      <w:r>
        <w:rPr>
          <w:rFonts w:ascii="Times New Roman" w:cs="Times New Roman" w:eastAsia="Times New Roman" w:hAnsi="Times New Roman"/>
          <w:sz w:val="29"/>
          <w:szCs w:val="29"/>
          <w:color w:val="auto"/>
          <w:highlight w:val="white"/>
          <w:vertAlign w:val="superscript"/>
        </w:rPr>
        <w:t>®</w:t>
      </w:r>
      <w:r>
        <w:rPr>
          <w:rFonts w:ascii="Times New Roman" w:cs="Times New Roman" w:eastAsia="Times New Roman" w:hAnsi="Times New Roman"/>
          <w:sz w:val="18"/>
          <w:szCs w:val="18"/>
          <w:color w:val="auto"/>
          <w:highlight w:val="white"/>
        </w:rPr>
        <w:t xml:space="preserve"> Wound Imaging System, currently focused on burn wounds and diabetic foot ulcer (“DFU”) indications, specifically engineered to allow physicians to make a more accurate, timely and informed decision for treatment options. The Company has not generated any product revenue to date. The Company currently generates revenue from contract development and research services by providing such services to governmental agencies, primarily to the Biomedical Advanced Research and Development Authority (“BARDA”) and under a contract with the Medical Technology Enterprise Consortium (“MTEC”).</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2023, the Company executed its third contract with BARDA for a multi-year Project BioShield (“PBS”) contract, valued at up to approximately $150.0 million (the “PBS BARDA Contract”). This multi-year contract includes an initial award of nearly $54.9 million to support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clinical validation and FDA clearance of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commercial development and distribution purposes. The Company completed the second contract with BARDA, referred to as BARDA Burn II, which was signed in July 2019 and completed in November 2023. Under this contract, the Company furthered the DeepView System design, developed the AI algorithm, and took steps to obtain FDA approval.</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In April 2023, the Company received a $4.0 million grant from MTEC for a project that is expected to be completed by April 2025 (the “MTEC Agreement”). The MTEC Agreement is for the development of a handheld version of the DeepView System </w:t>
      </w:r>
      <w:r>
        <w:rPr>
          <w:rFonts w:ascii="Times New Roman" w:cs="Times New Roman" w:eastAsia="Times New Roman" w:hAnsi="Times New Roman"/>
          <w:sz w:val="18"/>
          <w:szCs w:val="18"/>
          <w:color w:val="auto"/>
        </w:rPr>
        <w:t>which is to be used to support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military battlefield burn evaluation. </w:t>
      </w:r>
      <w:r>
        <w:rPr>
          <w:rFonts w:ascii="Times New Roman" w:cs="Times New Roman" w:eastAsia="Times New Roman" w:hAnsi="Times New Roman"/>
          <w:sz w:val="18"/>
          <w:szCs w:val="18"/>
          <w:color w:val="auto"/>
          <w:highlight w:val="white"/>
        </w:rPr>
        <w:t>The project has three phases, beginning with planning, design and testing; followed by development, design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modification and buildout of the handheld device; and then the manufacturing of the handheld device. In September 2024, the Company received an additional $800,000 from MTEC for the further development of the handheld device.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Inc., a Delaware corporation (“Spectral IP”), to be utilized to advance artificial intelligence intellectual property with a specific emphasis on healthcare. On March 19, 2024, Spectral IP entered into a promissory note with SIM Tech Licensing, LLC, an affiliate of the Company (“SIM Tech”), in the principal amount of $1,000,000 (the “Promissory Note”). The Promissory Note accrued interest at 8% per annum, and was payable upon the earliest to occur of (a) March 18, 2025, (b) a Liquidation Event (as such term is defined in the Promissory Note) or upon an Event of Default (as such term is defined in the Promissory Note).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28, 2024, SIM Tech assigned the Promissory Note to IP Protocol, LLC (“IP Protocol”), an affiliated entity through common ownership, in which IP Protocol received all of the rights of SIM Tech with respect to the Promissory Note. On October 1, 2024, the Promissory Note was amended to (i) reduce the annual interest rate from 8% to 4%, (ii) extend the term of the Promissory Note through the second anniversary of the issuance date, March 18, 2026, (iii) include a conversion feature at the option of either IP Protocol or the Company to convert the then outstanding principal and accrued but unpaid interest into shares of the Company at any time (into such number of shares calculated by taking a five percent (5.00%) discount to the closing price of the Company’s common stock on the day prior to the date of notice to the Company of the exercise of the conversion right) and at maturity, respectively, and (iv) provide for registration rights of any shares of the Company issued in satisfaction of the outstanding obligations.</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22" w:right="439" w:bottom="1440" w:gutter="0" w:footer="0" w:header="0"/>
        </w:sectPr>
      </w:pPr>
    </w:p>
    <w:bookmarkStart w:id="4" w:name="page5"/>
    <w:bookmarkEnd w:id="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6047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6047740"/>
                    </a:xfrm>
                    <a:prstGeom prst="rect">
                      <a:avLst/>
                    </a:prstGeom>
                    <a:noFill/>
                  </pic:spPr>
                </pic:pic>
              </a:graphicData>
            </a:graphic>
          </wp:anchor>
        </w:drawing>
        <w:t>IP Protocol or the Company has the right to provide notice (the “Notice”) to the other party, to convert the outstanding principal and accrued but unpaid interest (the “Total Outstanding Obligations”) into shares of the Company calculated by dividing the conversion amount of the Total Outstanding Obligations by the “Share Price.” The Share Price shall equal that number calculated by taking a five percent (5.0%) discount to the closing price of common stock of the Company on the day prior to the date the Notice is delivered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Spectral AI, Inc., a Delaware corporation formerly known as Rosecliff Acquisition Corp I (“Rosecliff”) was formed as a blank check company on November 17, 2020. The Company was formed for the purpose of effecting a merger, capital stock exchange, asset acquisition, stock purchase, reorganization or similar business combination with one or more businesses.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11, 2023, the Company consummated a business combination (the “Business Combination”), pursuant to the business combination agreement dated April 11, 2023 by and among the Company, Ghost Merger Sub I, a Delaware Corporation, Ghost Merger Sub II, a Delaware corporation and Spectral MD Holdings, Ltd., a Delaware corporation incorporated on March 9, 2009 and headquartered in Dallas, Texas (“Legacy Spectral”). Upon closing of the Business Combination (the “Closing”), in sequential order: (a) Ghost Merger Sub I merged with and into the Legacy Spectral, with Legacy Spectral continuing as the surviving company as a wholly owned subsidiary of the Company (the “Spectral Merger”) and then, (b) Legacy Spectral merged with and into Ghost Merger Sub II (renamed Spectral MD Holdings LLC) (the “SPAC Merger”, together with the Spectral Merger (the “Business Combination”)), with Ghost Merger Sub II surviving the SPAC Merger as a direct wholly-owned subsidiary of the Company. See Note 3. Upon the Closing, the Company changed its name from Rosecliff to Spectral AI, Inc.</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the Business Combination, the Company cancelled the redeemable warrants that it issued to Rosecliff Acquisition Sponsor I LLC, a Delaware limited liability company (the “Sponsor”), in a private placement in connection with the Company’s initial public offering on February 17, 2021 (the “Initial Public Offering”) at Closing, but the 8,433,333 redeemable warrants issued to the public in the Initial Public Offering (the “Public Warrants”) remain outstanding.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Prior to the Business Combination, </w:t>
      </w:r>
      <w:r>
        <w:rPr>
          <w:rFonts w:ascii="Times New Roman" w:cs="Times New Roman" w:eastAsia="Times New Roman" w:hAnsi="Times New Roman"/>
          <w:sz w:val="18"/>
          <w:szCs w:val="18"/>
          <w:color w:val="auto"/>
        </w:rPr>
        <w:t>Rosecliff</w:t>
      </w:r>
      <w:r>
        <w:rPr>
          <w:rFonts w:ascii="Times New Roman" w:cs="Times New Roman" w:eastAsia="Times New Roman" w:hAnsi="Times New Roman"/>
          <w:sz w:val="18"/>
          <w:szCs w:val="18"/>
          <w:color w:val="auto"/>
          <w:highlight w:val="white"/>
        </w:rPr>
        <w:t xml:space="preserve"> had 280,485 shares of Class A common stock, par value $0.0001 per share, issued and outstanding and held by public shareholders (the “Public Shares”) and 6,325,000 shares of Class B common stock, par value $0.0001 per share, issued and outstanding and held by the Sponsor (the “Sponsor Shares”). Upon the Closing, 5,445,000 of the Sponsor Shares were forfeited, in accordance with a letter agreement with the Sponsor, and the remaining 880,000 Sponsor Shares and 280,485 Public Shares, no longer designated Class A and Class B, were included in shares of the Company’s common stock, par value $0.0001 per share (the “Company Common Stock”).</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Prior to the Business Combination, Legacy Spectral’s shares of common stock, par value $0.001 per share (“Legacy Spectral Common Stock”) were listed on the AIM market on the London Stock Exchange (delisted on September 7, 2023). </w:t>
      </w:r>
      <w:r>
        <w:rPr>
          <w:rFonts w:ascii="Times New Roman" w:cs="Times New Roman" w:eastAsia="Times New Roman" w:hAnsi="Times New Roman"/>
          <w:sz w:val="18"/>
          <w:szCs w:val="18"/>
          <w:color w:val="auto"/>
          <w:highlight w:val="white"/>
        </w:rPr>
        <w:t>In September 2023, prior to the Closing, 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Spectral issued 7,679,198 shares of Legacy Spectral Common Stock to certain investors in a private placement, in exchange for $3.4 million (the “Equity Raise”). </w:t>
      </w:r>
      <w:r>
        <w:rPr>
          <w:rFonts w:ascii="Times New Roman" w:cs="Times New Roman" w:eastAsia="Times New Roman" w:hAnsi="Times New Roman"/>
          <w:sz w:val="18"/>
          <w:szCs w:val="18"/>
          <w:color w:val="auto"/>
        </w:rPr>
        <w:t>Upon the Closing, all</w:t>
      </w:r>
      <w:r>
        <w:rPr>
          <w:rFonts w:ascii="Times New Roman" w:cs="Times New Roman" w:eastAsia="Times New Roman" w:hAnsi="Times New Roman"/>
          <w:sz w:val="18"/>
          <w:szCs w:val="18"/>
          <w:color w:val="auto"/>
          <w:highlight w:val="white"/>
        </w:rPr>
        <w:t xml:space="preserve"> of Legacy Spectral’s issued and outstanding 145,380,871 shares of Legacy Spectral Common Stock, including the shares from the Equity Raise, were exchanged for 14,094,450 shares of Company Common Stock at an exchange ratio of 10.31 (the “Exchange Ratio”), meaning that the Company issued one share of Company Common Stock in exchange for 10.31 shares of Legacy Spectral Common Stock.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On September 12, 2023, the Company began trading the Company Common Stock and the Public Warrants on the Nasdaq under the symbols “MDAI” and “MDAIW”, respectively. </w:t>
      </w:r>
      <w:r>
        <w:rPr>
          <w:rFonts w:ascii="Times New Roman" w:cs="Times New Roman" w:eastAsia="Times New Roman" w:hAnsi="Times New Roman"/>
          <w:sz w:val="18"/>
          <w:szCs w:val="18"/>
          <w:color w:val="auto"/>
        </w:rPr>
        <w:t>Prior to the Business Combination, the Company’s shares of Company Common Stock and Public Warrants were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listed on the Nasdaq under the symbols “RCLF” and “RCLFW”, respectively.</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2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7556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7556500"/>
                    </a:xfrm>
                    <a:prstGeom prst="rect">
                      <a:avLst/>
                    </a:prstGeom>
                    <a:noFill/>
                  </pic:spPr>
                </pic:pic>
              </a:graphicData>
            </a:graphic>
          </wp:anchor>
        </w:drawing>
        <w:t>Implications of Being an Emerging Growth Company and Smaller Reporting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more promptly with new or revised accounting pronouncements as of public company effective dates.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960" w:hanging="320"/>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consolidated financial statements in addition to any required unaudited interim consolidated financial statements, with correspondingly reduced disclosure in the section titled “Management’s Discussion and Analysis of Financial Condition and Results of Operations” in the base prospectus;</w:t>
      </w:r>
    </w:p>
    <w:p>
      <w:pPr>
        <w:spacing w:after="0" w:line="17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22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 and</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the fiscal year ending after the fifth anniversary of the Company’s initial public offering or such earlier time that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$700.0 million as of the prior June 30th and we have been a public company for at least 12 months and have filed one annual report on Form 10-K; or (iv) the date on which we have issued more than $1.0 billion of non-convertible debt over the prior three-year period. We may choose to take advantage of some but not all of these reduced reporting burdens. Accordingly, the information contained herein may be different than you might obtain from other public companies in which you hold equity interests.</w:t>
      </w:r>
    </w:p>
    <w:p>
      <w:pPr>
        <w:spacing w:after="0" w:line="19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2024, we received a letter with a draft Particulars of a Complaint from Stifel Nicolaus Europe Limited (“Stifel”) in which Stifel contends that the Company owes Stifel approximately $2,550,000 pursuant to a previous engagement letter entered into with Stifel on November 15, 2021 (the “Engagement Letter”). Stifel alleges that the Engagement Letter entitles them to a percentage of the value of the Company’s Business Combination with Rosecliff. The Company further believes that we have substantial factual, legal and contractual defenses to the claims presented and will vigorously contest the claims, if ultimately brought. The Company also believes it has meritorious claims it is entitled to assert against Stifel and one or more of its representatives. However, the results of litigation are inherently unpredictable and the possibility exists that the ultimate resolution of this matter could result in a material effect on our financial position, results of operations or liquidity.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principal executive office is located at 2515 McKinney Avenue, Suite 1000, Dallas, TX 75201, and our phone number is (972) 499-4934.</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22"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5636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020" cy="5636260"/>
                    </a:xfrm>
                    <a:prstGeom prst="rect">
                      <a:avLst/>
                    </a:prstGeom>
                    <a:noFill/>
                  </pic:spPr>
                </pic:pic>
              </a:graphicData>
            </a:graphic>
          </wp:anchor>
        </w:drawing>
        <w:t>THE OFFERING</w:t>
      </w:r>
    </w:p>
    <w:p>
      <w:pPr>
        <w:sectPr>
          <w:pgSz w:w="11900" w:h="16838" w:orient="portrait"/>
          <w:cols w:equalWidth="0" w:num="1">
            <w:col w:w="11000"/>
          </w:cols>
          <w:pgMar w:left="460" w:top="1022" w:right="4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270,900 shares of our Common Stock.</w:t>
      </w:r>
    </w:p>
    <w:p>
      <w:pPr>
        <w:spacing w:after="0" w:line="200" w:lineRule="exact"/>
        <w:rPr>
          <w:sz w:val="20"/>
          <w:szCs w:val="20"/>
          <w:color w:val="auto"/>
        </w:rPr>
      </w:pPr>
    </w:p>
    <w:p>
      <w:pPr>
        <w:sectPr>
          <w:pgSz w:w="11900" w:h="16838" w:orient="portrait"/>
          <w:cols w:equalWidth="0" w:num="2">
            <w:col w:w="2220" w:space="640"/>
            <w:col w:w="8140"/>
          </w:cols>
          <w:pgMar w:left="460" w:top="1022" w:right="4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Offering Price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$1.66 per share of our Common Stock.</w:t>
      </w:r>
    </w:p>
    <w:p>
      <w:pPr>
        <w:spacing w:after="0" w:line="200" w:lineRule="exact"/>
        <w:rPr>
          <w:sz w:val="20"/>
          <w:szCs w:val="20"/>
          <w:color w:val="auto"/>
        </w:rPr>
      </w:pPr>
    </w:p>
    <w:p>
      <w:pPr>
        <w:sectPr>
          <w:pgSz w:w="11900" w:h="16838" w:orient="portrait"/>
          <w:cols w:equalWidth="0" w:num="2">
            <w:col w:w="2140" w:space="720"/>
            <w:col w:w="8140"/>
          </w:cols>
          <w:pgMar w:left="460" w:top="1022" w:right="439" w:bottom="1440" w:gutter="0" w:footer="0" w:header="0"/>
          <w:type w:val="continuous"/>
        </w:sectPr>
      </w:pPr>
    </w:p>
    <w:p>
      <w:pPr>
        <w:spacing w:after="0" w:line="33"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Common Stock outstanding following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20,844,598shares of our Common Stock.</w:t>
      </w:r>
    </w:p>
    <w:p>
      <w:pPr>
        <w:spacing w:after="0" w:line="448" w:lineRule="exact"/>
        <w:rPr>
          <w:sz w:val="20"/>
          <w:szCs w:val="20"/>
          <w:color w:val="auto"/>
        </w:rPr>
      </w:pPr>
    </w:p>
    <w:p>
      <w:pPr>
        <w:sectPr>
          <w:pgSz w:w="11900" w:h="16838" w:orient="portrait"/>
          <w:cols w:equalWidth="0" w:num="2">
            <w:col w:w="2140" w:space="720"/>
            <w:col w:w="8140"/>
          </w:cols>
          <w:pgMar w:left="460" w:top="1022"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$408,000, after deducting the placement agent fees and estimated offering expenses payable by us.</w:t>
      </w:r>
    </w:p>
    <w:p>
      <w:pPr>
        <w:spacing w:after="0" w:line="162" w:lineRule="exact"/>
        <w:rPr>
          <w:sz w:val="20"/>
          <w:szCs w:val="20"/>
          <w:color w:val="auto"/>
        </w:rPr>
      </w:pPr>
    </w:p>
    <w:p>
      <w:pPr>
        <w:sectPr>
          <w:pgSz w:w="11900" w:h="16838" w:orient="portrait"/>
          <w:cols w:equalWidth="0" w:num="2">
            <w:col w:w="2140" w:space="720"/>
            <w:col w:w="8140"/>
          </w:cols>
          <w:pgMar w:left="460" w:top="1022" w:right="439" w:bottom="1440" w:gutter="0" w:footer="0" w:header="0"/>
          <w:type w:val="continuous"/>
        </w:sectPr>
      </w:pPr>
    </w:p>
    <w:p>
      <w:pPr>
        <w:ind w:left="2860" w:right="2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 See “Use of Proceeds” for a more complete description of the intended use of proceeds from this offering.</w:t>
      </w:r>
    </w:p>
    <w:p>
      <w:pPr>
        <w:sectPr>
          <w:pgSz w:w="11900" w:h="16838" w:orient="portrait"/>
          <w:cols w:equalWidth="0" w:num="1">
            <w:col w:w="11000"/>
          </w:cols>
          <w:pgMar w:left="460" w:top="1022" w:right="4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do not anticipate paying any cash dividends in the foreseeable future but intend to retain our capital resources for reinvestment in our business.</w:t>
      </w:r>
    </w:p>
    <w:p>
      <w:pPr>
        <w:spacing w:after="0" w:line="158" w:lineRule="exact"/>
        <w:rPr>
          <w:sz w:val="20"/>
          <w:szCs w:val="20"/>
          <w:color w:val="auto"/>
        </w:rPr>
      </w:pPr>
    </w:p>
    <w:p>
      <w:pPr>
        <w:sectPr>
          <w:pgSz w:w="11900" w:h="16838" w:orient="portrait"/>
          <w:cols w:equalWidth="0" w:num="2">
            <w:col w:w="2140" w:space="720"/>
            <w:col w:w="8140"/>
          </w:cols>
          <w:pgMar w:left="460" w:top="1022" w:right="43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Trading Market and Ticker Symbol for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on Nasdaq under the symbol “MDAI.”</w:t>
      </w:r>
    </w:p>
    <w:p>
      <w:pPr>
        <w:spacing w:after="0" w:line="448" w:lineRule="exact"/>
        <w:rPr>
          <w:sz w:val="20"/>
          <w:szCs w:val="20"/>
          <w:color w:val="auto"/>
        </w:rPr>
      </w:pPr>
    </w:p>
    <w:p>
      <w:pPr>
        <w:sectPr>
          <w:pgSz w:w="11900" w:h="16838" w:orient="portrait"/>
          <w:cols w:equalWidth="0" w:num="2">
            <w:col w:w="2740" w:space="120"/>
            <w:col w:w="8140"/>
          </w:cols>
          <w:pgMar w:left="460" w:top="1022"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For a discussion of factors to consider before deciding to invest in our Common Stock, you should carefully review and consider the “Risk Factors” section beginning on page S-5 of this prospectus supplement and in the documents incorporated by reference in this prospectus supplement.</w:t>
      </w:r>
    </w:p>
    <w:p>
      <w:pPr>
        <w:spacing w:after="0" w:line="180" w:lineRule="exact"/>
        <w:rPr>
          <w:sz w:val="20"/>
          <w:szCs w:val="20"/>
          <w:color w:val="auto"/>
        </w:rPr>
      </w:pPr>
    </w:p>
    <w:p>
      <w:pPr>
        <w:sectPr>
          <w:pgSz w:w="11900" w:h="16838" w:orient="portrait"/>
          <w:cols w:equalWidth="0" w:num="2">
            <w:col w:w="2140" w:space="720"/>
            <w:col w:w="8140"/>
          </w:cols>
          <w:pgMar w:left="460" w:top="1022" w:right="439" w:bottom="1440" w:gutter="0" w:footer="0" w:header="0"/>
          <w:type w:val="continuous"/>
        </w:sect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is based on 20,753,698 shares of our Common Stock issued and outstanding as of December 6, 2024, and excludes:</w:t>
      </w:r>
    </w:p>
    <w:p>
      <w:pPr>
        <w:spacing w:after="0" w:line="162" w:lineRule="exact"/>
        <w:rPr>
          <w:sz w:val="20"/>
          <w:szCs w:val="20"/>
          <w:color w:val="auto"/>
        </w:rPr>
      </w:pPr>
    </w:p>
    <w:p>
      <w:pPr>
        <w:ind w:left="960" w:right="20" w:hanging="320"/>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3,925,016 shares of our Common Stock issuable upon the exercise of outstanding stock options at a weighted average exercise price of $1.75 per share;</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8,433,333 shares of our Common Stock issuable upon the exercise of outstanding warrants at a weighted average exercise price of $11.50 per share; and</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569,400 shares of our Common Stock issuable upon vesting of restricted stock units issued under our equity incentive plan.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Unless otherwise indicated, this prospectus supplement reflects and assumes no exercise of outstanding options or warrants.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22" w:right="4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discussed under the sections titled “Risk Factors” contained in our most recent Annual Report on Form 10-K and in any subsequently filed Quarterly Report on Form 10-Q, as well as any amendments thereto reflected in our subsequent filings with the SEC, which are incorporated by reference into this prospectus supplement, together with other information in this prospectus supplement, the documents incorporated by reference herein, and any prospectus supplement and any free writing prospectus that we may authorize. Please also read carefully the section titled “Cautionary Note Regarding Forward-Looking Statements.” Additional risks and uncertainties not presently known to us, or that we currently deem immaterial, may also adversely affect our business. In addition, past financial performance may not be a reliable indicator of future performance and historical trends should not be used to anticipate results or trends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net tangible book value per share of our Common Stock you purchase in the offering.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pro forma net tangible book value per share of our Common Stock outstanding prior to this offering. After giving effect to the sale by us of the Shares at a price of $1.66 per Share, and after placement agent fees and estimated offering expenses payable by us, you will experience immediate increase in valuation of 0.1% per share, representing the difference between our pro forma as adjusted net tangible book value per share as of September 30, 2024 after giving effect to this offering and the assumed offering price. The exercise of outstanding warrants and stock options may also result in further dilution of your investment. See the section entitled “Dilution” on page S-11 below for a more detailed illustration of the dilution you may incur if you participate in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as to the use of the proceeds from this offering, and may not use the proceeds effectively.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that may not improve our business, financial condition or results of operations or enhance the value of our common stock. Our failure to apply these funds effectively could have a material adverse effect on our business and cause the price of our common stock to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Resales of our common stock in the public market following this offering may cause the trading price to fall.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resale of a substantial number of shares of Common Stock could depress the trading price of our Common Stock. This offering of new shares of our Common Stock could result in resales of our Common Stock by our current stockholders concerned about the potential dilution of their holdings. If our stockholders sell substantial amounts of our Common Stock in the public market following the offering contemplated by this prospectus supplement, the trading price of our Common Stock could 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has a relatively low trading volume and the market price has been, and is likely to continue to be, volatile. The variance in our stock price makes it difficult to forecast the stock price at which an investor may be able to buy or sell shares of our Common Stock. The market price for our Common Stock could be subject to fluctuations as a result of factors that are out of our control, such as:</w:t>
      </w:r>
    </w:p>
    <w:p>
      <w:pPr>
        <w:spacing w:after="0" w:line="176"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and trends in the medical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demands on institutional funds that hold our Common Stock;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issue additional common stock, which would reduce investors’ percent of ownership and may dilute our share value.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2024, our Articles of Incorporation, as amended, authorize the issuance of 80,000,000 shares of Common Stock, and we had 18,513,073 shares of our Common Stock issued and outstanding. The future issuance of Common Stock may result in substantial dilution in the percentage of our Common Stock held by our then existing stockholders. We may value any Common Stock in the future on an arbitrary basis. The issuance of Common Stock for future services or acquisitions or other corporate actions may have the effect of diluting the value of the shares held by our investors, might have an adverse effect on any trading market for our Common Stock and could impair our ability to raise capital in the future through the sale of equity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entitled “Risk Factors.”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83"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may not be able to achieve significant revenues or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devoting substantially all of our efforts towards research and development of our DeepView System.</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89" w:lineRule="auto"/>
        <w:tabs>
          <w:tab w:leader="none" w:pos="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government funding, which if lost or reduced, could have a material adverse effect on our research and development activities and our ability to commercialize our DeepView technology. Our largest contract is with the Biomedical Advanced Research and Development Authority (“BARDA”) and is the largest single source of revenue for us. Our BARDA contract is not guaranteed to be completed or extended.</w:t>
      </w:r>
    </w:p>
    <w:p>
      <w:pPr>
        <w:spacing w:after="0" w:line="157" w:lineRule="exact"/>
        <w:rPr>
          <w:rFonts w:ascii="Times New Roman" w:cs="Times New Roman" w:eastAsia="Times New Roman" w:hAnsi="Times New Roman"/>
          <w:sz w:val="17"/>
          <w:szCs w:val="17"/>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process is expensive, time-consuming, and uncertain and we may be unable to obtain clearance, approval, De Novo classification, or certification for our DeepView technology.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senior management, directors and key personnel, and our business could be harmed if we are unable to attract and retain personnel necessary for our success.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delays in completing clinical trials, which could prevent or significantly delay our targeted product launch timeframe and impair our viability and business plan.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labor shortage may limit our ability or the investigators’ ability to find and retain medical staff that are needed to conduct the clinical studies.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left="324" w:hanging="324"/>
        <w:spacing w:after="0" w:line="266"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our DeepView System may require new clearances, approvals, De Novo classifications, certifications, or new or amended certifications, and may require us to cease marketing or to recall the modified device until clearances, approvals, De Novo classifications, or the relevant certifications are obtained.</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anti-kickback, fraud and abuse, false claims, transparency, and other healthcare laws and regulations.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fail to comply with the regulatory quality system regulations or any applicable equivalent regulations, our proposed operations could be interrupted, and our operating results would suffer.</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 to comply with data protection, privacy and security laws, regulations, standards and other requirements could negatively affect our business, financial condition or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regulatory framework for AI technology evolves, our business, financial condition and results of operation may be adversely affected.</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either on our own or in collaboration with third parties, we may not be successful in commercializing our DeepView System, if approved.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satisfactory pricing and margins for our DeepView technology.</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including machine learning, in our analytics platforms may result in reputational harm or liability.</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algorithms depends on our significant repository of proprietary data.</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or its interpretation could diminish the value of patents in general, thereby impairing our ability to protect our existing and future products.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and other intellectual property may be subject to priority, ownership or inventorship disputes, interferences, and similar proceedings and we may not be able to enforce our intellectual property rights throughout the world.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may delist our securities from trading on its exchange, which could limit investors’ ability to make transactions in our securities and subject us to additional trading restrictions.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as a result of operating as a public company, and the Company’s management will be required to devote substantial time to new compliance and investor relations initiatives.</w:t>
      </w:r>
    </w:p>
    <w:p>
      <w:pPr>
        <w:spacing w:after="0" w:line="378"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 w:name="page11"/>
    <w:bookmarkEnd w:id="10"/>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be volatile.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rules, or a failure to comply with any laws, regulations or rules, may adversely affect our business, investments and results of operations.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existing stockholders purchased, or may purchase, securities in the Company at a price below the current trading price of such securities and may experience a positive rate of return based on the current trading price. Future investors in the Company may not experience a similar rate of return.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may become exercisable for common stock, which would increase the number of shares eligible for resale in the public market and result in dilution to our stockholders.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included important factors in the cautionary statements included in this prospectus and the documents we incorporate by reference herein and therein, particularly in the “Risk Factors” section of our Annual Report on Form 10-K for the fiscal year ended December 31, 2023 and in the “Risk Factors” section of our Quarterly Report on Form 10-Q for the fiscal quarter ended September 30, 2024, that we believe could cause actual results or events to differ materially from the forward-looking statements that we make. Our forward-looking statements do not reflect the potential impact of any future acquisitions, mergers, dispositions, joint ventures or investments we may make. No forward-looking statement is a guarantee of future performance.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read this prospectus, the applicable prospectus supplement, any related free-writing prospectus, and the documents incorporated by reference herein and therein completely and with the understanding that our actual future results, levels of activity, performance and events and circumstances may be materially different from what we expect. The forward-looking statements contained or incorporated by reference in the base prospectus, this prospectus supplement or any other prospectus supplement herein and therein represent our views as of the date of this prospectus supplement and are expressly qualified in their entirety by this cautionary statement.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the sale of our Common Stock and Pre-Funded Warrants in this offering will be approximately $408,000, after deducting placement agent fees and estimated offering expenses payable by us. We intend to use the net proceeds from this offering for working capital and general corporate purposes.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expected use of the net proceeds from this offering and our existing cash represents our intentions based upon our current plans, financial condition and business conditions. The amount, timing and nature of specific expenditures of net proceeds from this offering will depend on a number of factors, including the timing, scope, progress and results of our development efforts and the timing and progress of any collaboration efforts. As of the date of this prospectus supplement, we cannot specify with certainty all of the particular uses of the proceeds from this offering. Accordingly, we will retain broad discretion over the use of such proceeds.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 and government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and we do not anticipate paying any cash dividends on our Common Stock in the foreseeable future. Payment of cash dividends, if any, in the future will be at the discretion of our board of directors and will depend on applicable law and then-existing conditions, including our financial condition, operating results, contractual restrictions, capital requirements, business prospects and other factors our board of directors may deem relevant. We currently intend to retain all available funds and any future earnings to fund the development and growth of our business.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to the extent of the difference between the public offering price per share and the as adjusted net tangible book value per share after giving effect to this offering. We calculate net tangible book value per share by dividing the net tangible book value, which is tangible assets less total liabilities, by the number of outstanding shares of our Common Stock. Dilution represents the difference between the portion of the amount per share paid by purchasers of shares in this offering and the as adjusted net tangible book value per share of our Common Stock immediately after giving effect to this offering. Our net tangible book value as of September 30, 2024 was approximately $19.6 million, or $1.06 per share of Common Stock.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Assuming exercise of the Pre-Funded Warrants, after giving effect to the sale of our Common Stock at a price of $1.66 per share, the last reported sale price of our Common Stock on Nasdaq on December 4, 2024, and after deducting estimated aggregate offering expenses payable by us, our net tangible book value as of September 30, 2024 would have been approximately $20.1 million, or $1.06 per share of Common Stock. This represents no increase in the net tangible book value per share to our existing stockholders and no immediate increase in net tangible book value to new investors.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illustrates this per share dilution:</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attributable to this offering</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September 30, 2024, after giving effect to this offering</w:t>
            </w:r>
          </w:p>
        </w:tc>
        <w:tc>
          <w:tcPr>
            <w:tcW w:w="440" w:type="dxa"/>
            <w:vAlign w:val="bottom"/>
          </w:tcPr>
          <w:p>
            <w:pPr>
              <w:spacing w:after="0"/>
              <w:rPr>
                <w:sz w:val="23"/>
                <w:szCs w:val="23"/>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20,104,355</w:t>
            </w:r>
          </w:p>
        </w:tc>
        <w:tc>
          <w:tcPr>
            <w:tcW w:w="0" w:type="dxa"/>
            <w:vAlign w:val="bottom"/>
          </w:tcPr>
          <w:p>
            <w:pPr>
              <w:spacing w:after="0"/>
              <w:rPr>
                <w:sz w:val="1"/>
                <w:szCs w:val="1"/>
                <w:color w:val="auto"/>
              </w:rPr>
            </w:pPr>
          </w:p>
        </w:tc>
      </w:tr>
      <w:tr>
        <w:trPr>
          <w:trHeight w:val="21"/>
        </w:trPr>
        <w:tc>
          <w:tcPr>
            <w:tcW w:w="86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to new investors purchasing shares in this offering</w:t>
            </w: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table is based on 18,513,073 shares of our Common Stock outstanding as of September 30, 2024, and excludes:</w:t>
      </w:r>
    </w:p>
    <w:p>
      <w:pPr>
        <w:spacing w:after="0" w:line="225"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3,786,191 shares of our Common Stock issuable upon the exercise of outstanding stock options at a weighted average exercise price of $1.79 per share;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8,433,333 shares of our Common Stock issuable upon the exercise of outstanding and exercisable warrants at a weighted average exercise price of $11.50 per share. (See “Risk Factors – You may experience future dilution as a result of future equity offerings or if we issue shares subject to options, warrants, stock awards or other arrangements.”);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469,400 shares of our Common Stock issuable upon vesting of restricted stock units issued under our equity incentive plan.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of the outstanding options or warrants described above. To the extent that any of these outstanding warrants or options are exercised at prices per share below the public offering price per share in this offering or we issue additional shares under our equity incentive plans at prices below the public offering price per share in this offering, you may experience further dilution. In addition, to the extent that we raise additional capital by issuing equity or convertible debt securities, your ownership will be further diluted.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engaged SP Angel Corporate Finance LLP, or the placement agent, to act as our exclusive placement agent to solicit offers to purchase the Shares offered by this prospectus supplement. The placement agent is not purchasing or selling any such securities, nor is it required to arrange for the purchase and sale of any specific number or dollar amount of such securities, other than to use its “reasonable best efforts” to arrange for the sale of such securities by us. Therefore, we may not sell all of the Shares being offered. The terms of this offering are subject to market conditions and negotiations between us, the placement agent and prospective investors. The placement agent will have no authority to bind us by virtue of their placement agency agreement. The placement agent may retain sub-agents and selected dealers in connection with this offering.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purchasing securities offered hereby will have the option to execute a securities purchase agreement with us. Investors who do not enter into a securities purchase agreement shall rely solely on this prospectus supplement in connection with the purchase of our securities in this offering. In addition to rights and remedies available to all purchasers in this offering under federal securities and state law, the purchasers which enter into a securities purchase agreement will also be able to bring claims of breach of contract against 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Delivery of the shares of our Common Stock offered hereby is expected to occur on or about December 9, 2024, subject to satisfaction of certain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price and total cash fees we will pay to the placement agent in connection with the sale of the securities pursuant to this prospectus supplement.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Share of</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1.66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Placement agent fees</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31,478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418,215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agreed to pay a non-accountable expense allowance to the placement agent equal to 7% of the gross proceeds received in this offering.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out-of-pocket accountable expenses that will be paid by us to the placement agent in connection with this offering, and will be reimbursed to us to the extent not actually incurred in compliance with Rule 5110(g)(4)(A) of the Financial Industry Regulatory Authority (“FINRA”).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the placement agent commissions for its services in acting as our sales agent in the sale of our Common Stock. The placement agent will be entitled to compensation at a fixed commission rate of 7% of the gross proceeds from the sale of our Common Stock on our behalf. We have agreed to reimburse the placement agent for their reasonable and documented out-of-pocket expenses (including but not limited to the reasonable and documented fees and expenses of its legal counsel).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that the total expenses for commencement of this offering, excluding compensation payable to placement agent and certain expenses reimbursable to the placement agent, will be approximately $10,000. 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Because there are no minimum sale requirements as a condition to this offering, the actual total public offering price, commissions and net proceeds to us, if any, are not determinable at this time. The actual dollar amount and shares of our Common Stock we sell through this prospectus supplement will be dependent, among other things, on market conditions and our capital raising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 Compliance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liabilities under the Securities Act and liabilities arising from breaches of representations and warranties contained in our placement agency agreement with the placement agent. We have also agreed to contribute to payments the placement agent may be required to make in respect of such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“MDAI.”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placement agent and/or their affiliates may in the future provide, various investment banking and other financial services for us for which they may receive customary fees. In the course of their businesses, the placement agent and their affiliates may actively trade our securities or loans for their own account or for the accounts of customers, and, accordingly, the placement agent and their affiliates may at any time hold long or short positions in such securities or loans.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validity of the shares Common Stock offered hereby will be passed upon for us by Reed Smith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Spectral AI, Inc. as of December 31, 2023 and 2022 and for each of the years in the two-year period ended December 31, 2023, have been incorporated by reference herein in reliance upon the report of KPMG LLP,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prospectus supplement and accompanying base prospectus is part of the registration statement on Form S-3 we filed with the SEC under the Securities Act and does not contain all the information set forth in the registration statement. Whenever a reference is made in this prospectus supplement or the accompanying base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documents are also available, free of charge, through the Investors section of our website, which is located at https://investors.spectral-ai.com/. The reference to our website in this prospectus is an inactive textual reference only and is not a hyperlink. The contents of our website are not part of this prospectus, and you should not consider the contents of our website in making an investment decision with respect to our securities. This prospectus does not contain all of the information set forth in the registration statement. You can obtain a copy of the registration statement for free at www.sec.gov.</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incorporated by reference into this prospectus the information on our website, and you should not consider it to be a part of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specifically are incorporating by reference the following documents filed with the SEC (excluding those portions of any Current Report on Form 8-K that are furnished and not deemed “filed” pursuant to the General Instructions of Form 8-K):</w:t>
      </w:r>
    </w:p>
    <w:p>
      <w:pPr>
        <w:spacing w:after="0" w:line="183"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29, 2024;</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quarter ended March 31, 2024, filed with the SEC on May 9, 2024, the Quarterly Report on </w:t>
      </w:r>
      <w:hyperlink r:id="rId3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quarter ended June 30, 2024, filed with the SEC on August 12, 2024, and the Quarterly Report on </w:t>
      </w:r>
      <w:hyperlink r:id="rId3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September 30, 2024, filed with the SEC on November 6, 2024;</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5,2024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15,</w:t>
        </w:r>
      </w:hyperlink>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 xml:space="preserve">August 13, 2024 </w:t>
        </w:r>
      </w:hyperlink>
      <w:hyperlink r:id="rId35">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 xml:space="preserve">October 15, 2024 </w:t>
        </w:r>
      </w:hyperlink>
      <w:hyperlink r:id="rId35">
        <w:r>
          <w:rPr>
            <w:rFonts w:ascii="Times New Roman" w:cs="Times New Roman" w:eastAsia="Times New Roman" w:hAnsi="Times New Roman"/>
            <w:sz w:val="18"/>
            <w:szCs w:val="18"/>
            <w:color w:val="000000"/>
          </w:rPr>
          <w:t>(other than any portions thereof deemed furnished and not filed);</w:t>
        </w:r>
      </w:hyperlink>
    </w:p>
    <w:p>
      <w:pPr>
        <w:spacing w:after="0" w:line="175"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38">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4, 2024 (but only with respect to information required by Part III of our Annual Report on Form 10-K for the year ended December 31, 2023, which information updated and superseded information included in Part III of our Annual Report on Form 10-K for the year ended December 31, 2023);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w:t>
      </w:r>
      <w:hyperlink r:id="rId30">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filed with the Commission on March 29, 2024, and any amendment or report filed with the Commission for purposes of updating such description.</w:t>
      </w:r>
    </w:p>
    <w:p>
      <w:pPr>
        <w:spacing w:after="0" w:line="162"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reports and definitive proxy or information statements subsequently filed after the date of this initial registration statement and prior to effectiveness of this registration statement by the Company pursuant to Sections 13(a), 13(c), 14 and 15(d) of the Exchange Act, but excluding information furnished to, rather than filed with, the SEC, shall be deemed to be incorporated by reference herein and to be a part hereof from the date such documents are filed.</w:t>
      </w:r>
    </w:p>
    <w:p>
      <w:pPr>
        <w:spacing w:after="0" w:line="180"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herein or in any document incorporated or deemed to be incorporated by reference shall be deemed to be modified or superseded for purposes of the registration statement of which this prospectus forms a part to the extent that a statement contained in any other subsequently filed document which also is or is deemed to be incorporated by reference modifies or supersedes such statement. Any such statement so modified or superseded shall not be deemed to constitute a part of the registration statement of which this prospectus forms a part, except as so modified or superseded.</w:t>
      </w:r>
    </w:p>
    <w:p>
      <w:pPr>
        <w:spacing w:after="0" w:line="183"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7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upon written or oral request, a copy of any or all of the information that has been incorporated by reference in this prospectus but not delivered with this prospectus (other than an exhibit to these filings, unless we have specifically incorporated that exhibit by reference in this prospectus). Any such request should be addressed to us at:</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Vincent S. Capone, Esq.</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&amp; General Counsel</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207"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https://investors.spectral-ai.com/. Except for the specific incorporated documents listed above, no information available on or through our website shall be deemed to be incorporated in this prospectus or the registration statement of which it forms a part.</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25717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$50,000,000 of 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in one or more offerings, in amounts, at prices and on terms that we will determine at the time of such offering, up to $50,000,000 in shares of our common stock, par value $0.0001 (“common stock”). A portion of the proceeds may be used to repay a promissory note issued by our wholly-owned subsidiary, Spectral IP, Inc., to SIM Tech Licensing LLC on March 18, 2024, in the principal amount of $1,000,000 (the “Spectral IP Note”). See “Use of Proceeds” for a description of the Spectral IP Note.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we will offer the securities. We will provide specific terms of any offering in a supplement to this prospectus. Any prospectus supplement may also add, update, or change information contained in this prospectus.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carefully read this prospectus and the applicable prospectus supplement as well as the documents incorporated or deemed to be incorporated by reference in this prospectus before you purchase any of the securities offered hereby. You should also read the documents we refer to in the “Where You Can Find More Information” section of this prospectus for information on us and our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See “Plan of Distribution.”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Capital Market (the “Nasdaq”) under the symbol “MDAI.” On September 27, 2024, the last reported sale price of our common stock was $1.21 per share as reported on the Nasdaq. We recommend that you obtain current market quotations for our common stock prior to making an investment decision. We will provide information in any applicable prospectus supplement regarding any listing of securities other than shares of our common stock on any securities exchange. This prospectus may not be used to sell our securities unless it is accompanied by a prospectus supplement.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applicable federal securities laws and will be subject to reduced reporting requirements. This prospectus complies with the requirements that apply to an issuer that is an emerging growth company.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As of October 15, 2024, the aggregate market value of our outstanding common stock held by non-affiliates, or the public float, was approximately $13,059,556, which was calculated based on 10,364,727 shares of our outstanding common stock held by non-affiliates and a price of $1.26 per share, the last reported sale price for our common stock on October 15, 2024. As of the date of this prospectus, we have not offered or sold any securities pursuant to General Instruction I.B.6 of Form S-3 during the 12 calendar months prior to, and including, the date of this prospectus. Pursuant to General Instruction I.B.6. of Form S-3, in no event will we offer securities registered on this registration statement in a public primary offering with a value exceeding more than one-third of our public float (the market value of our common stock held by our non-affiliates) in any 12-month period so long as our public float remains below $75.0 million.</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You should carefully read this prospectus, any prospectus supplement relating to any specific offering of securities, and all information incorporated by reference herein and therein.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These risks are discussed in this prospectus under “Risk Factors” beginning on page 4 and in the documents incorporated by reference in this prospectus.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780" w:type="dxa"/>
            <w:vAlign w:val="bottom"/>
          </w:tcPr>
          <w:p>
            <w:pPr>
              <w:jc w:val="right"/>
              <w:ind w:right="3890"/>
              <w:spacing w:after="0"/>
              <w:rPr>
                <w:sz w:val="20"/>
                <w:szCs w:val="20"/>
                <w:color w:val="auto"/>
              </w:rPr>
            </w:pPr>
            <w:r>
              <w:rPr>
                <w:rFonts w:ascii="Times New Roman" w:cs="Times New Roman" w:eastAsia="Times New Roman" w:hAnsi="Times New Roman"/>
                <w:sz w:val="18"/>
                <w:szCs w:val="18"/>
                <w:color w:val="auto"/>
              </w:rPr>
              <w:t>, 2024</w:t>
            </w:r>
          </w:p>
        </w:tc>
      </w:tr>
      <w:tr>
        <w:trPr>
          <w:trHeight w:val="439"/>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TABLE OF CONTENTS</w:t>
            </w:r>
          </w:p>
        </w:tc>
        <w:tc>
          <w:tcPr>
            <w:tcW w:w="100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800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SPECTRAL AI, INC.</w:t>
            </w:r>
          </w:p>
        </w:tc>
        <w:tc>
          <w:tcPr>
            <w:tcW w:w="798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18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ABOUT THIS PROSPECTUS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 using a “shelf” registration process. Under this shelf process, we may, from time to time, offer and sell up to $50,000,000 in shares of our common stock as described in this prospectus in one or more offerings.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 We may also authorize one or more free writing prospectuses to be provided to you that may contain material information relating to the offering.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to be attached to the front of this prospectus may describe, as applicable: the terms of the securities offered; the public offering price; the price paid for the securities; net proceeds; and the other specific terms related to the offering of the securities.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read the entire prospectus and any prospectus supplement and any related issuer free writing prospectus, as well as the documents incorporated by reference into this prospectus or any prospectus supplement or any related issuer free writing prospectus, together with the additional information described under “Where You Can Find More Information,” before making an investment decision. You should also carefully consider, among other things, the matters discussed in the section entitled “Risk Factors” herein.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This prospectus contains forward-looking statements that are subject to a number of risks and uncertainties, many of which are beyond our control. See “Risk Factors” and “Cautionary Statement Regarding Forward Looking Statements” appearing in this prospectus and in the documents we file with the SEC that are incorporated by reference into this prospectus.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CAUTIONARY STATEMENT REGARDING FORWARD LOOKING STATEMENTS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entitled “Risk Factors.”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83"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may not be able to achieve significant revenues or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devoting substantially all of our efforts towards research and development of our DeepView System.</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89" w:lineRule="auto"/>
        <w:tabs>
          <w:tab w:leader="none" w:pos="9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government funding, which if lost or reduced, could have a material adverse effect on our research and development activities and our ability to commercialize our DeepView technology. Our largest contract is with the Biomedical Advanced Research and Development Authority (“BARDA”) and is the largest single source of revenue for us. Our BARDA contract is not guaranteed to be completed or extended.</w:t>
      </w:r>
    </w:p>
    <w:p>
      <w:pPr>
        <w:spacing w:after="0" w:line="157" w:lineRule="exact"/>
        <w:rPr>
          <w:rFonts w:ascii="Times New Roman" w:cs="Times New Roman" w:eastAsia="Times New Roman" w:hAnsi="Times New Roman"/>
          <w:sz w:val="17"/>
          <w:szCs w:val="17"/>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process is expensive, time-consuming, and uncertain and we may be unable to obtain clearance, approval, De Novo classification, or certification for our DeepView technology.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senior management, directors and key personnel, and our business could be harmed if we are unable to attract and retain personnel necessary for our success.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delays in completing clinical trials, which could prevent or significantly delay our targeted product launch timeframe and impair our viability and business plan.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labor shortage may limit our ability or the investigators’ ability to find and retain medical staff that are needed to conduct the clinical studies.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our DeepView System may require new clearances, approvals, De Novo classifications, certifications, or new or amended certifications, and may require us to cease marketing or to recall the modified device until clearances, approvals, De Novo classifications, or the relevant certifications are obtained.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anti-kickback, fraud and abuse, false claims, transparency, and other healthcare laws and regulations.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fail to comply with the regulatory quality system regulations or any applicable equivalent regulations, our proposed operations could be interrupted, and our operating results would suffer.</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 to comply with data protection, privacy and security laws, regulations, standards and other requirements could negatively affect our business, financial condition or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regulatory framework for AI technology evolves, our business, financial condition and results of operation may be adversely affected.</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either on our own or in collaboration with third parties, we may not be successful in commercializing our DeepView System, if approved.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satisfactory pricing and margins for our DeepView technology.</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including machine learning, in our analytics platforms may result in reputational harm or liability.</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algorithms depends on our significant repository of proprietary data.</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or its interpretation could diminish the value of patents in general, thereby impairing our ability to protect our existing and future products.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and other intellectual property may be subject to priority, ownership or inventorship disputes, interferences, and similar proceedings and we may not be able to enforce our intellectual property rights throughout the world.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may delist our securities from trading on its exchange, which could limit investors’ ability to make transactions in our securities and subject us to additional trading restrictions.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as a result of operating as a public company, and the Company’s management will be required to devote substantial time to new compliance and investor relations initiatives.</w:t>
      </w:r>
    </w:p>
    <w:p>
      <w:pPr>
        <w:spacing w:after="0" w:line="37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 w:name="page24"/>
    <w:bookmarkEnd w:id="23"/>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be volatile.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rules, or a failure to comply with any laws, regulations or rules, may adversely affect our business, investments and results of operations.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existing stockholders purchased, or may purchase, securities in the Company at a price below the current trading price of such securities and may experience a positive rate of return based on the current trading price. Future investors in the Company may not experience a similar rate of return.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may become exercisable for common stock, which would increase the number of shares eligible for resale in the public market and result in dilution to our stockholders.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included important factors in the cautionary statements included in this prospectus and the documents we incorporate by reference herein and therein, particularly in the “Risk Factors” section of our Annual Report on Form 10-K for the fiscal year ended December 31, 2023 and in the “Risk Factors” section of our Quarterly Report on Form 10-Q for the fiscal quarter ended June 30, 2024, that we believe could cause actual results or events to differ materially from the forward-looking statements that we make. Our forward-looking statements do not reflect the potential impact of any future acquisitions, mergers, dispositions, joint ventures or investments we may make. No forward-looking statement is a guarantee of future performance.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read this prospectus, the applicable prospectus supplement, any related free-writing prospectus, and the documents incorporated by reference herein and therein completely and with the understanding that our actual future results, levels of activity, performance and events and circumstances may be materially different from what we expect. The forward-looking statements contained or incorporated by reference in this prospectus or any prospectus supplement herein and therein represent our views as of the date of this prospectus are expressly qualified in their entirety by this cautionary statement.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607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27875" cy="7607935"/>
                    </a:xfrm>
                    <a:prstGeom prst="rect">
                      <a:avLst/>
                    </a:prstGeom>
                    <a:noFill/>
                  </pic:spPr>
                </pic:pic>
              </a:graphicData>
            </a:graphic>
          </wp:anchor>
        </w:drawing>
        <w:t>ABOUT SPECTRAL AI, INC.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Unless the context otherwise requires, references to the “Company,” “Spectral,” “we,” “us,” “our” and similar terms refer to Spectral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AI company focused on predictive medical diagnostics. Our DeepView System uses proprietary AI algorithms to distinguish between fully damaged, partially damaged and healthy human tissue characters invisible to the naked eye, at the initial time point of wound presentation. The DeepView System delivers a binary prediction on the wounds capacity to heal or not-heal by a specified time point in the future. Our DeepView System’s output is specifically engineered to assist the physician in making a more accurate, timely and informed decision regarding the treatment of the patient’s wounds. Our focus from 2013 through 2021 was on the burn indication. In 2022, we expanded our focus to include the DFU indication.</w:t>
      </w:r>
    </w:p>
    <w:p>
      <w:pPr>
        <w:spacing w:after="0" w:line="19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highlight w:val="white"/>
        </w:rPr>
        <w:t>Spectral AI is devoting substantially all of its efforts towards research and development of its DeepView</w:t>
      </w:r>
      <w:r>
        <w:rPr>
          <w:rFonts w:ascii="Times New Roman" w:cs="Times New Roman" w:eastAsia="Times New Roman" w:hAnsi="Times New Roman"/>
          <w:sz w:val="29"/>
          <w:szCs w:val="29"/>
          <w:color w:val="auto"/>
          <w:highlight w:val="white"/>
          <w:vertAlign w:val="superscript"/>
        </w:rPr>
        <w:t>®</w:t>
      </w:r>
      <w:r>
        <w:rPr>
          <w:rFonts w:ascii="Times New Roman" w:cs="Times New Roman" w:eastAsia="Times New Roman" w:hAnsi="Times New Roman"/>
          <w:sz w:val="18"/>
          <w:szCs w:val="18"/>
          <w:color w:val="auto"/>
          <w:highlight w:val="white"/>
        </w:rPr>
        <w:t xml:space="preserve"> Wound Imaging System, currently focused on burn wounds and diabetic foot ulcer (“DFU”) indications, specifically engineered to allow physicians to make a more accurate, timely and informed decision for treatment options. The Company has not generated any product revenue to date. The Company currently generates revenue from contract development and research services by providing such services to governmental agencies, primarily to the Biomedical Advanced Research and Development Authority (“BARDA”) and under a contract with the Medical Technology Enterprise Consortium (“MTEC”).</w:t>
      </w:r>
    </w:p>
    <w:p>
      <w:pPr>
        <w:spacing w:after="0" w:line="20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September 2023, the Company executed its third contract with BARDA for a multi-year Project BioShield (“PBS”) contract, valued at up to approximately $150.0 million (the “PBS BARDA Contract”). This multi-year contract includes an initial award of nearly $54.9 million to support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clinical validation and FDA clearance of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commercial development and distribution purposes. The Company completed the second contract with BARDA, referred to as BARDA Burn II, which was signed in July 2019 and completed in November 2023. Under this contract, the Company furthered the DeepView System design, developed the AI algorithm, and took steps to obtain FDA approval.</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In April 2023, the Company received a $4.0 million grant from MTEC for a project that is expected to be completed by April 2025 (the “MTEC Agreement”). The MTEC Agreement is for the development of a handheld version of the DeepView System </w:t>
      </w:r>
      <w:r>
        <w:rPr>
          <w:rFonts w:ascii="Times New Roman" w:cs="Times New Roman" w:eastAsia="Times New Roman" w:hAnsi="Times New Roman"/>
          <w:sz w:val="18"/>
          <w:szCs w:val="18"/>
          <w:color w:val="auto"/>
        </w:rPr>
        <w:t>which is to be used to support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military battlefield burn evaluation. </w:t>
      </w:r>
      <w:r>
        <w:rPr>
          <w:rFonts w:ascii="Times New Roman" w:cs="Times New Roman" w:eastAsia="Times New Roman" w:hAnsi="Times New Roman"/>
          <w:sz w:val="18"/>
          <w:szCs w:val="18"/>
          <w:color w:val="auto"/>
          <w:highlight w:val="white"/>
        </w:rPr>
        <w:t>The project has three phases, beginning with planning, design and testing; followed by development, design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modification and buildout of the handheld device; and then the manufacturing of the handheld device. In September 2024, the Company received an additional $800,000 from MTEC for the further development of the handheld device.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Inc., a Delaware corporation (“Spectral IP”), to be utilized to advance artificial intelligence intellectual property with a specific emphasis on healthcare. On March 19, 2024, the Company announced that Spectral IP received a $1.0 million investment from an affiliate of its largest shareholder for the development of its artificial intelligence intellectual property portfolio. The investment is structured as a note payable with a one-year maturity, an interest rate of 8%, and requiring earlier prepayment if the Company spins off Spectral IP to the Company’s shareholders or if Spectral IP is sold to a third party.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Spectral AI, Inc., a Delaware corporation formerly known as Rosecliff Acquisition Corp I (“Rosecliff”) was formed as a blank check company on November 17, 2020. The Company was formed for the purpose of effecting a merger, capital stock exchange, asset acquisition, stock purchase, reorganization or similar business combination with one or more businesses.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11, 2023, the Company consummated a business combination (the “Business Combination”), pursuant to the business combination agreement dated April 11, 2023 by and among the Company, Ghost Merger Sub I, a Delaware Corporation, Ghost Merger Sub II, a Delaware corporation and Spectral MD Holdings, Ltd., a Delaware corporation incorporated on March 9, 2009 and headquartered in Dallas, Texas (“Legacy Spectral”). Upon closing of the Business Combination (the “Closing”), in sequential order: (a) Ghost Merger Sub I merged with and into the Legacy Spectral, with Legacy Spectral continuing as the surviving company as a wholly owned subsidiary of the Company (the “Spectral Merger”) and then, (b) Legacy Spectral merged with and into Ghost Merger Sub II (renamed Spectral MD Holdings LLC) (the “SPAC Merger”, together with the Spectral Merger (the “Business Combination”)), with Ghost Merger Sub II surviving the SPAC Merger as a direct wholly-owned subsidiary of the Company. See Note 3. Upon the Closing, the Company changed its name from Rosecliff to Spectral AI, Inc.</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25" w:name="page26"/>
    <w:bookmarkEnd w:id="25"/>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636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27875" cy="5636260"/>
                    </a:xfrm>
                    <a:prstGeom prst="rect">
                      <a:avLst/>
                    </a:prstGeom>
                    <a:noFill/>
                  </pic:spPr>
                </pic:pic>
              </a:graphicData>
            </a:graphic>
          </wp:anchor>
        </w:drawing>
        <w:t>In conjunction with the Business Combination, the Company cancelled the redeemable warrants that it issued to Rosecliff Acquisition Sponsor I LLC, a Delaware limited liability company (the “Sponsor”), in a private placement in connection with the Company’s initial public offering on February 17, 2021 (the “Initial Public Offering”) at Closing, but the 8,433,333 redeemable warrants issued to the public in the Initial Public Offering (the “Public Warrants”) remain outstanding.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Prior to the Business Combination, </w:t>
      </w:r>
      <w:r>
        <w:rPr>
          <w:rFonts w:ascii="Times New Roman" w:cs="Times New Roman" w:eastAsia="Times New Roman" w:hAnsi="Times New Roman"/>
          <w:sz w:val="18"/>
          <w:szCs w:val="18"/>
          <w:color w:val="auto"/>
        </w:rPr>
        <w:t>Rosecliff</w:t>
      </w:r>
      <w:r>
        <w:rPr>
          <w:rFonts w:ascii="Times New Roman" w:cs="Times New Roman" w:eastAsia="Times New Roman" w:hAnsi="Times New Roman"/>
          <w:sz w:val="18"/>
          <w:szCs w:val="18"/>
          <w:color w:val="auto"/>
          <w:highlight w:val="white"/>
        </w:rPr>
        <w:t xml:space="preserve"> had 280,485 shares of Class A common stock, par value $0.0001 per share, issued and outstanding and held by public shareholders (the “Public Shares”) and 6,325,000 shares of Class B common stock, par value $0.0001 per share, issued and outstanding and held by the Sponsor (the “Sponsor Shares”). Upon the Closing, 5,445,000 of the Sponsor Shares were forfeited, in accordance with a letter agreement with the Sponsor, and the remaining 880,000 Sponsor Shares and 280,485 Public Shares, no longer designated Class A and Class B, were included in shares of the Company’s common stock, par value $0.0001 per share (the “Company Common Stock”).</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Prior to the Business Combination, Legacy Spectral’s shares of common stock, par value $0.001 per share (“Legacy Spectral Common Stock”) were listed on the AIM market on the London Stock Exchange (delisted on September 7, 2023). </w:t>
      </w:r>
      <w:r>
        <w:rPr>
          <w:rFonts w:ascii="Times New Roman" w:cs="Times New Roman" w:eastAsia="Times New Roman" w:hAnsi="Times New Roman"/>
          <w:sz w:val="18"/>
          <w:szCs w:val="18"/>
          <w:color w:val="auto"/>
          <w:highlight w:val="white"/>
        </w:rPr>
        <w:t>In September 2023, prior to the Closing, 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Spectral issued 7,679,198 shares of Legacy Spectral Common Stock to certain investors in a private placement, in exchange for $3.4 million (the “Equity Raise”). </w:t>
      </w:r>
      <w:r>
        <w:rPr>
          <w:rFonts w:ascii="Times New Roman" w:cs="Times New Roman" w:eastAsia="Times New Roman" w:hAnsi="Times New Roman"/>
          <w:sz w:val="18"/>
          <w:szCs w:val="18"/>
          <w:color w:val="auto"/>
        </w:rPr>
        <w:t>Upon the Closing, all</w:t>
      </w:r>
      <w:r>
        <w:rPr>
          <w:rFonts w:ascii="Times New Roman" w:cs="Times New Roman" w:eastAsia="Times New Roman" w:hAnsi="Times New Roman"/>
          <w:sz w:val="18"/>
          <w:szCs w:val="18"/>
          <w:color w:val="auto"/>
          <w:highlight w:val="white"/>
        </w:rPr>
        <w:t xml:space="preserve"> of Legacy Spectral’s issued and outstanding 145,380,871 shares of Legacy Spectral Common Stock, including the shares from the Equity Raise, were exchanged for 14,094,450 shares of Company Common Stock at an exchange ratio of 10.31 (the “Exchange Ratio”), meaning that the Company issued one share of Company Common Stock in exchange for 10.31 shares of Legacy Spectral Common Stock.</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On September 12, 2023, the Company began trading the Company Common Stock and the Public Warrants on the Nasdaq under the symbols “MDAI” and “MDAIW”, respectively. </w:t>
      </w:r>
      <w:r>
        <w:rPr>
          <w:rFonts w:ascii="Times New Roman" w:cs="Times New Roman" w:eastAsia="Times New Roman" w:hAnsi="Times New Roman"/>
          <w:sz w:val="18"/>
          <w:szCs w:val="18"/>
          <w:color w:val="auto"/>
        </w:rPr>
        <w:t>Prior to the Business Combination, the Company’s shares of Company Common Stock and Public Warrants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were listed on the Nasdaq under the symbols “RCLF” and “RCLFW”,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more promptly with new or revised accounting pronouncements as of public company effective dates.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960" w:right="20" w:hanging="320"/>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consolidated financial statements in addition to any required unaudited interim consolidated financial statements, with correspondingly reduced disclosure in the section titled “Management’s Discussion and Analysis of Financial Condition and Results of Operations” in this prospectus;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26" w:name="page27"/>
    <w:bookmarkEnd w:id="26"/>
    <w:p>
      <w:pPr>
        <w:ind w:left="960" w:hanging="320"/>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538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27875" cy="4538980"/>
                    </a:xfrm>
                    <a:prstGeom prst="rect">
                      <a:avLst/>
                    </a:prstGeom>
                    <a:noFill/>
                  </pic:spPr>
                </pic:pic>
              </a:graphicData>
            </a:graphic>
          </wp:anchor>
        </w:drawing>
        <w:t>an exception from compliance with the auditor attestation requirements of Section 404 of the Sarbanes-Oxley Act of 2002, as amended;</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the fiscal year ending after the fifth anniversary of the Company’s initial public offering or such earlier time that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$700.0 million as of the prior June 30th and we have been a public company for at least 12 months and have filed one annual report on Form 10-K; or (iv) the date on which we have issued more than $1.0 billion of non-convertible debt over the prior three-year period. We may choose to take advantage of some but not all of these reduced reporting burdens. Accordingly, the information contained herein may be different than you might obtain from other public companies in which you hold equity interests.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and, similar to emerging growth companies,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2024, we received a letter with a draft Particulars of a Complaint from Stifel Nicolaus Europe Limited (“Stifel”) in which Stifel contends that the Company owes Stifel approximately $2,550,000 pursuant to a previous engagement letter entered into with Stifel on November 15, 2021 (the “Engagement Letter”). Stifel alleges that the Engagement Letter entitles them to a percentage of the value of the Company’s Business Combination with Rosecliff. The Company further believes that we have substantial factual, legal and contractual defenses to the claims presented and will vigorously contest the claims, if ultimately brought. The Company also believes it has meritorious claims it is entitled to assert against Stifel and one or more of its representatives. However, the results of litigation are inherently unpredictable and the possibility exists that the ultimate resolution of this matter could result in a material effect on our financial position, results of operations or liquidity.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color w:val="auto"/>
        </w:rPr>
        <w:t>RISK FACTORS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In addition to the other information contained in this prospectus and in the documents we incorporate by reference,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or any updates in our Quarterly Reports on Form 10-Q, together with all other information appearing in or incorporated by reference into this prospectus or the applicable prospectus supplement, before deciding whether to purchase any securities being offered. The risks and uncertainties discussed in the foregoing are not the only ones facing us. Additional risks and uncertainties not presently known to us, or that we currently see as immaterial, may also harm our business. Past financial performance may not be a reliable indicator of future performance, and historical trends should not be used to anticipate results or trends in future periods. If any of these risks occur,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to the contrary in an accompanying prospectus supplement or post-effective amendment, we will use the net proceeds from the sale of the securities covered by this prospectus for general corporate purposes, which may include, among other things, purchase of miners, repayment or refinancing of debt or funding acquisitions, capital expenditures or working capital.</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such offering and will be described in the related prospectus supplement.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will use the net proceeds from the sale of the securities covered by this prospectus to repay the Spectral IP Note or for general corporate purposes, which may include working capital, including research and development, expansion of our business, strategic transactions and other general corporate purposes.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investment-grade, interest-bearing securities such as money market funds, certificates of deposit, or direct or guaranteed obligations of the U.S. government, hold as cash or apply them to the reduction of short-term indebtedness.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portion of the proceeds may be used to satisfy the Spectral IP Note in the principal amount of $1,000,000. The Spectral IP Note currently bears interest at a rate equal to eight percent (8%) per annum and shall be due and payable in full on the earliest of March 18, 2025, or a Liquidation Event (as defined in the Spectral IP Note). The Spectral IP Note allows prepayment at any time without premium or penalty.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DESCRIPTION OF CAPITAL STOCK</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material terms and provisions of our securities that we may offer under this prospectus but is not complete. This description also summarizes relevant provisions of Delaware General Corporation Law (the “DGCL”). The following summary does not purport to be complete and is subject to, and is qualified in its entirety by reference to, the applicable provisions of the DGCL, our Charter and our Bylaws, copies of which are incorporated by reference as an exhibit to our Annual Report on Form 10-K. In addition, you should be aware that the summary below does not give full effect to the terms of the provisions of statutory or common law, and we encourage you to read our Charter, our Bylaws, and the applicable provisions of Delaware law for additional information.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Charter authorizes the issuance of 81,000,000 shares of capital stock of the Company, consisting of (i) 80,000,000 shares of common stock, and (ii) 1,000,000 shares of preferred stock, par value $0.0001 per share (the “preferred stock”). As of September 27, 2024, there were 18,513,073 shares of our common stock issued and outstanding and no shares of preferred stock issued and outstanding. The authorized and unissued shares of common stock and the authorized and undesignated shares of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does not intend to seek stockholder approval for the issuance and sale of our common stock or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have no cumulative voting rights. Holders of our common stock are entitled to receive ratably dividends as may be declared by our board of directors out of funds legally available for that purpose, subject to any preferential dividend or other rights of any then outstanding preferred stock. We have never paid cash dividends on our common stock and do not anticipate paying any cash dividends in the foreseeable future but intend to retain our capital resources for reinvestment in our business. Any future disposition of dividends will be at the discretion of our board of directors and will depend upon, among other things, our future earnings, operating and financial condition, capital requirements, and other factors.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our common stock do not have preemptive or conversion rights or other subscription rights. On the liquidation, dissolution, distribution of assets or winding up of the Company, each holder of common stock will be entitled, pro rata on a per share basis, to all assets of the Company of whatever kind available for distribution to the holders of common stock, subject to the designations, preferences, limitations, restrictions and relative rights of any preferred stock then outstanding. The rights, preferences and privileges of holders of common stock are subject to and may be adversely affected by the rights of the holders of shares of any series of our preferred stock that we may designate and issue in the future.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common stock are entitled to cast one vote per share of common stock on all matters to be voted on by stockholders. Holders of common stock will vote together as a single class, and an action will be approved by stockholders if the number of votes cast in favor of the action exceeds the number of votes cast in opposition to the action, while directors will be elected by a plurality of the votes cast. Holders of common stock are not entitled to cumulate their votes in the election of directors. When a quorum is present at any meeting, any matter other than the election of directors to be voted upon by the stockholders at such meeting will be decided by a majority vote of the holders of shares of capital stock present or represented at the meeting and voting affirmatively or negatively on such matter. At all meetings of stockholders for the election of directors at which a quorum is present, a plurality of the votes cast will be sufficient to elect such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the DGCL, our Charter and Bylaws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203 of the DGCL affords us certain protections, such as prohibiting us from engaging in any business combination with any stockholder for a period of three years following the time that such stockholder (the “interested stockholder”) came to own at least 15% of our outstanding voting stock (the “acquisition”), except if:</w:t>
      </w:r>
    </w:p>
    <w:p>
      <w:pPr>
        <w:spacing w:after="0" w:line="176" w:lineRule="exact"/>
        <w:rPr>
          <w:sz w:val="20"/>
          <w:szCs w:val="20"/>
          <w:color w:val="auto"/>
        </w:rPr>
      </w:pPr>
    </w:p>
    <w:p>
      <w:pPr>
        <w:ind w:left="5580" w:right="4940" w:hanging="4924"/>
        <w:spacing w:after="0" w:line="541" w:lineRule="auto"/>
        <w:tabs>
          <w:tab w:leader="none" w:pos="98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approved the acquisition prior to its consummation;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outstanding voting stock upon consummation of the acquisition;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our board of directors, and by a two-thirds vote of the other stockholders in a meeting.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a “business combination” includes any merger, consolidation,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15% or more of our voting stock.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certain circumstances, these anti-takeover provisions will make it more difficult for a person who would be an “interested stockholder” to effect various business combinations with us for a three-year period. This may encourage companies interested in acquiring us to negotiate in advance with our board of directors because the stockholder approval requirement would be avoided if our board of directors approves the acquisition that results in the stockholder becoming an interested stockholder.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may also have the effect of preventing changes in our board of directors and may make it more difficult to accomplish transactions that stockholders may otherwise deem to be in their best interests.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Charter provides that, unless the Company consents in writing to the selection of an alternative forum, the Court of Chancery of the State of Delaware (the “Chancery Court”) shall be the sole and exclusive forum for any stockholder (including a beneficial owner) to bring: (i) any derivative action or proceeding brought on the Company’s behalf; (ii) any action, suit or proceeding asserting a claim of breach of fiduciary duty owed by any current or former director, officer or other employee, agent or stockholder of the Company to the Company or its stockholders; (iii) any action, suit or proceeding asserting a claim against the Company, its current or former directors, officers, or employees, agents or stockholders arising pursuant to any provision of the DGCL, the Charter or the Bylaws or (iv) any action, suit or proceeding asserting a claim against the Company, its current or former directors, officers, or employees, agents or stockholders governed by the internal affairs doctrine, and, if such action is filed in a court other than the Chancery Court (a “Foreign Action”) by any stockholder (including any beneficial owner), to the fullest extent permitted by law, such stockholder shall be deemed to have consented to (a) the personal jurisdiction of the Chancery Court in connection with any action brought in any such court; and (b) having service of process made upon such stockholder in any such action by service upon such stockholder’s counsel in the Foreign Action as agent for such stockholder.</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exclusive forum provision set forth above does not apply to, and does not preclude or contract the scope of, either (i) exclusive federal jurisdiction pursuant to Section 27 of the Securities and Exchange Act for claims seeking to enforce any liability or duty created by the Securities and Exchange Act or the rules and regulations thereunder, or any other claim for which the U.S. federal courts have exclusive jurisdiction, or (ii) concurrent jurisdiction under Section 22 of the Securities Act for federal and state courts over all claims seeking to enforce any liability or duty created by the Securities Act or the rules and regulations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Effects of Authorized but Unissued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Charter provides that certain shares of authorized but unissued common stock and preferred stock will be available for future issuances without stockholder approval and could be utilized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the Company by means of a proxy contest, tender offer, merger,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Limitations of Director Liability and Indemnification of Directors, Officers and Employees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or officers of corporations and their stockholders for monetary damages for breaches of directors’ or officers’ fiduciary duties, subject to certain exceptions. The Charter includes a provision that eliminates the personal liability of directors or officers for monetary damages for any breach of fiduciary duty as a director or officer except to the extent such exemption from liability or limitation thereof is not permitted under the DGCL as the same exists or may hereafter be amended.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Bylaws provide that the Company must indemnify and hold harmless the directors and officers of the Company to the fullest extent authorized by the DGCL.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Company would have the power to indemnify him or her against such liability under the provisions of the DGCL.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Charter and Bylaws may discourage stockholders from bringing lawsuits against directors or officers for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“MDAI”.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may sell the securities offered pursuant to this prospectus from time to time in one or more transactions, including, without limitation:</w:t>
      </w:r>
    </w:p>
    <w:p>
      <w:pPr>
        <w:spacing w:after="0" w:line="225"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initial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to one or more purchasers (including our affiliates and stockholders), through a specific bidding or auction process, a rights offering or otherwise;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 or free writing prospectus.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w:t>
      </w:r>
    </w:p>
    <w:p>
      <w:pPr>
        <w:spacing w:after="0" w:line="225" w:lineRule="exact"/>
        <w:rPr>
          <w:sz w:val="20"/>
          <w:szCs w:val="20"/>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(which may involve crosses) and transactions on the Nasdaq or any other organized market where the securities may be traded;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 or free writing prospectus;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or free writing prospectus will describe the terms of the offering of the securities, including:</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and if required, any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delayed delivery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 or traded.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We may distribute the securities from time to time in one or more transactions at:</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underwriters are used in an offering, only underwriters named in the prospectus supplement are underwriters of the securities offered by the prospectus supplement.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grant to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of these contracts and the commissions we must pay for solicitation of these contracts in the prospectus supplement.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for the purpose of resale or distribution, may be deemed to be underwriters, and any discounts or commissions received by them from us and any profit on the resale of the common stock by them may be deemed to be underwriting discounts and commissions under the Securities Act of 1933, as amended.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provide agents, underwriters and other purchasers with indemnification against particular civil liabilities, including liabilities under the Securities Act of 1933, as amended, or contribution with respect to payments that the agents, underwriters or other purchasers may make with respect to such liabilities. Agents and underwriters may engage in transactions with, or perform services for, us in the ordinary course of business.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facilitate the public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any common stock sold pursuant to a prospectus supplement will be eligible for listing on the Nasdaq, subject to official notice of issuance. Any underwriters to whom securities are sold by us for public offering and sale may make a market in the securities, but such underwriters will not be obligated to do so and may discontinue any market making at any time without notice.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LEGAL MATTERS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validity of the securities offered by this prospectus will be passed upon for us by Reed Smith LLP. If legal matters in connection with offerings made by this prospectus are passed on by counsel for the underwriters, dealers or agents, if any, that counsel will be named in the applicable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EXPERTS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Spectral AI, Inc. as of December 31, 2023 and 2022 and for each of the years in the two-year period ended December 31, 2023, have been incorporated by reference herein in reliance upon the report of KPMG LLP, independent registered public accounting firm, incorporated by reference herein, and upon the authority of said firm as experts in accounting and auditing.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WHERE YOU CAN FIND MORE INFORMATION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file annual, quarterly and current reports, proxy statements and other information with the SEC. The SEC maintains an internet website at www.sec.gov that contains periodic and current reports, proxy and information statements and other information regarding registrants that are filed electronically with the SEC.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documents are also available, free of charge, through the Investors section of our website, which is located at https://investors.spectral-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ai.com/.</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of 1933, as amended,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for free at www.sec.gov. The registration statement and the documents referred to below under “Incorporation of Documents by Reference” are also available on our website, https://investors.spectral-ai.com/. The reference to our website in this prospectus is an inactive textual reference only and is not a hyperlink. The contents of our website are not part of this prospectus, and you should not consider the contents of our website in making an investment decision with respect to our securities.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incorporated by reference into this prospectus the information on our website, and you should not consider it to be a part of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INCORPORATION OF DOCUMENTS BY REFERENCE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specifically are incorporating by reference the following documents filed with the SEC (excluding those portions of any Current Report on Form 8-K that are furnished and not deemed “filed” pursuant to the General Instructions of Form 8-K):</w:t>
      </w:r>
    </w:p>
    <w:p>
      <w:pPr>
        <w:spacing w:after="0" w:line="183"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29, 2024;</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quarter ended March 31, 2024, filed with the SEC on May 9, 2024, and Quarterly Report on </w:t>
      </w:r>
      <w:hyperlink r:id="rId3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June 30, 2024, filed with the SEC on August 12, 2024;</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5,2024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15,</w:t>
        </w:r>
      </w:hyperlink>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 xml:space="preserve">August 13, 2024 </w:t>
        </w:r>
      </w:hyperlink>
      <w:hyperlink r:id="rId35">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 xml:space="preserve">October 15, 2024 </w:t>
        </w:r>
      </w:hyperlink>
      <w:hyperlink r:id="rId35">
        <w:r>
          <w:rPr>
            <w:rFonts w:ascii="Times New Roman" w:cs="Times New Roman" w:eastAsia="Times New Roman" w:hAnsi="Times New Roman"/>
            <w:sz w:val="18"/>
            <w:szCs w:val="18"/>
            <w:color w:val="000000"/>
          </w:rPr>
          <w:t>(other than any portions thereof deemed furnished and not filed);</w:t>
        </w:r>
      </w:hyperlink>
    </w:p>
    <w:p>
      <w:pPr>
        <w:spacing w:after="0" w:line="175"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38">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4, 2024 (but only with respect to information required by Part III of our Annual Report on Form 10-K for the year ended December 31, 2023, which information updated and superseded information included in Part III of our Annual Report on Form 10-K for the year ended December 31, 2023);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w:t>
      </w:r>
      <w:hyperlink r:id="rId30">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filed with the Commission on March 29, 2024, and any amendment or report filed with the Commission for purposes of updating such description.</w:t>
      </w:r>
    </w:p>
    <w:p>
      <w:pPr>
        <w:spacing w:after="0" w:line="162"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reports and definitive proxy or information statements subsequently filed after the date of this initial registration statement and prior to effectiveness of this registration statement by the Company pursuant to Sections 13(a), 13(c), 14 and 15(d) of the Exchange Act, but excluding information furnished to, rather than filed with, the SEC, shall be deemed to be incorporated by reference herein and to be a part hereof from the date such documents are filed.</w:t>
      </w:r>
    </w:p>
    <w:p>
      <w:pPr>
        <w:spacing w:after="0" w:line="180"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herein or in any document incorporated or deemed to be incorporated by reference shall be deemed to be modified or superseded for purposes of the registration statement of which this prospectus forms a part to the extent that a statement contained in any other subsequently filed document which also is or is deemed to be incorporated by reference modifies or supersedes such statement. Any such statement so modified or superseded shall not be deemed to constitute a part of the registration statement of which this prospectus forms a part, except as so modified or superseded.</w:t>
      </w:r>
    </w:p>
    <w:p>
      <w:pPr>
        <w:spacing w:after="0" w:line="183"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7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upon written or oral request, a copy of any or all of the information that has been incorporated by reference in this prospectus but not delivered with this prospectus (other than an exhibit to these filings, unless we have specifically incorporated that exhibit by reference in this prospectus). Any such request should be addressed to us at:</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Vincent S. Capone, Esq.</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&amp; General Counsel</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207"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https://investors.spectral-ai.com/. Except for the specific incorporated documents listed above, no information available on or through our website shall be deemed to be incorporated in this prospectus or the registration statement of which it forms a part.</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jpe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30" Type="http://schemas.openxmlformats.org/officeDocument/2006/relationships/hyperlink" Target="http://www.sec.gov/Archives/edgar/data/1833498/000121390024027863/ea0202419-10k_spectral.htm" TargetMode="External"/><Relationship Id="rId31" Type="http://schemas.openxmlformats.org/officeDocument/2006/relationships/hyperlink" Target="http://www.sec.gov/Archives/edgar/data/1833498/000121390024040950/ea0205374-10q_spectral.htm" TargetMode="External"/><Relationship Id="rId32" Type="http://schemas.openxmlformats.org/officeDocument/2006/relationships/hyperlink" Target="http://www.sec.gov/Archives/edgar/data/1833498/000121390024067651/ea0211028-10q_spectral.htm" TargetMode="External"/><Relationship Id="rId33" Type="http://schemas.openxmlformats.org/officeDocument/2006/relationships/hyperlink" Target="https://www.sec.gov/Archives/edgar/data/1833498/000121390024095006/ea0219007-10q_spectral.htm" TargetMode="External"/><Relationship Id="rId34" Type="http://schemas.openxmlformats.org/officeDocument/2006/relationships/hyperlink" Target="http://www.sec.gov/Archives/edgar/data/1833498/000121390024016029/ea0200496-8k_spectralai.htm" TargetMode="External"/><Relationship Id="rId35" Type="http://schemas.openxmlformats.org/officeDocument/2006/relationships/hyperlink" Target="http://www.sec.gov/Archives/edgar/data/1833498/000121390024061195/ea0209405-8k_spectral.htm" TargetMode="External"/><Relationship Id="rId36" Type="http://schemas.openxmlformats.org/officeDocument/2006/relationships/hyperlink" Target="http://www.sec.gov/Archives/edgar/data/1833498/000121390024068363/ea0211308-8k_spectral.htm" TargetMode="External"/><Relationship Id="rId37" Type="http://schemas.openxmlformats.org/officeDocument/2006/relationships/hyperlink" Target="http://www.sec.gov/Archives/edgar/data/1833498/000121390024087520/ea0217549-8k_spectral.htm" TargetMode="External"/><Relationship Id="rId38" Type="http://schemas.openxmlformats.org/officeDocument/2006/relationships/hyperlink" Target="http://www.sec.gov/Archives/edgar/data/1833498/000121390024030137/ea0201456-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2024-12-09T09:25:47Z</dcterms:created>
  <dcterms:modified xsi:type="dcterms:W3CDTF">2024-12-09T09:25:47Z</dcterms:modified>
</cp:coreProperties>
</file>