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001-40058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2515 McKinney Avenue, Suite 1000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7"/>
              </w:rPr>
              <w:t>Dallas, Texas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75201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(972) 499-4934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MDAIW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 for one share of Common Stock,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 exercise price of $2.75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2026 Annual Meeting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Stockholders of the Company was held on May 29, 2026. A total of 31,823,985 shares of the Company’s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were eligible and entitled to vote at the Annual Meeting and a total of 17,267,570 shares of the Company’s Common Stock were represented at the Annual Meeting (or 54.30% of the eligible shares). The matters voted on at the Annual Meeting were as follows:</w:t>
      </w:r>
    </w:p>
    <w:p>
      <w:pPr>
        <w:spacing w:after="0" w:line="180"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Election of Directors: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individuals, each of whom was nominated for election to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the Company, were elected by the stockholders at the Annual Meeting for a term of one year expiring at the 2027 Annual Meeting of stockholders.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9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DiMaio</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10,157,155</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1,087,280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10,020,873</w:t>
            </w: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1,223,562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6,023,135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Mellish</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10,916,549</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327,886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6,023,135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Sadagopan</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11,061,892</w:t>
            </w:r>
          </w:p>
        </w:tc>
        <w:tc>
          <w:tcPr>
            <w:tcW w:w="96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6,023,135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Marion Snyder</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10,916,357</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328,078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6,023,135</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nomination of each of the above-mentioned directors was made by the Board. Dr. DiMaio, Mr. Cotton, Mr. Mellish, Mr. Sadagopan and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Snyder were each completing their previous term as members of the Board since their election at the Company’s 2025 Annual Meeting.</w:t>
      </w:r>
    </w:p>
    <w:p>
      <w:pPr>
        <w:spacing w:after="0" w:line="20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(Advisory) Non-Binding ratification of the appointment of the Company’s independent registered public accounting firm:</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stockholders voted at the Annual Meeting to ratify the appointment of Forvis Mazars LLP as the Company’s independent registered public accounting firm for fiscal year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16,980,334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15,679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271,557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6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To authorize, for purposes of Nasdaq Marketplace Rule 5635(d), the reservation and issuance of shares of common stock of the Company, par value $0.0001 per share for sale to Hudson Bay Master Fund Ltd. pursuant to that certain Securities Purchase Agreement, dated October 24, 2025 (the “Purchase Agreement”) at the purchase price per share as determined pursuant to the Purchase Agreement (the “Hudson Bay Proposal”).</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voted at the Annual Meeting to approve the Hudson Bay Proposal.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5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1"/>
                <w:szCs w:val="21"/>
                <w:color w:val="auto"/>
              </w:rPr>
            </w:pPr>
          </w:p>
        </w:tc>
        <w:tc>
          <w:tcPr>
            <w:tcW w:w="28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7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9,272,055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1,838,069</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134,311</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6,023,135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2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3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 2026, the Company issued a press release announcing the results of the Annual Meeting, a copy of which is furnished as Exhibit 99.1 to this Current Report on Form 8-K.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to this Current Report on Form 8-K, and in Exhibit 99.1 furnished herewith, shall not be deemed to be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Spectral AI, Inc. on June 1, 2026</w:t>
      </w:r>
    </w:p>
    <w:p>
      <w:pPr>
        <w:spacing w:after="0" w:line="27" w:lineRule="exact"/>
        <w:rPr>
          <w:sz w:val="20"/>
          <w:szCs w:val="20"/>
          <w:color w:val="auto"/>
        </w:rPr>
      </w:pPr>
    </w:p>
    <w:p>
      <w:pPr>
        <w:ind w:left="5580" w:right="5580" w:hanging="5572"/>
        <w:spacing w:after="0" w:line="530" w:lineRule="auto"/>
        <w:tabs>
          <w:tab w:leader="none" w:pos="114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Vincent S. Capone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1457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45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Announces Voting Results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Update and Outlook Following Receipt of FDA De Novo Clearance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DeepView® System for Burn Indication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DALLAS, TX – June 1, 2026 - Spectral AI, Inc. (Nasdaq: MDAI) (“Spectral AI” or the “Company”)</w:t>
      </w:r>
      <w:r>
        <w:rPr>
          <w:rFonts w:ascii="Times New Roman" w:cs="Times New Roman" w:eastAsia="Times New Roman" w:hAnsi="Times New Roman"/>
          <w:sz w:val="18"/>
          <w:szCs w:val="18"/>
          <w:color w:val="auto"/>
        </w:rPr>
        <w:t>, an artificial intelligence (AI)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medical diagnostics for faster and more accurate treatment decisions in wound care, today announced results from its 2026 Annual Meeting of Stockholders, held on May 29, 2026.</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provided an overview of its accomplishments to date and targeted milestones for 2026 following the receipt of De Novo Classification for its DeepView® System from the U.S. Food and Drug Administration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Annual Meeting of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17,267,570 shares representing 54.3% of the Company’s total shares outstanding were represented at the meeting, either in person or by proxy.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three of the proposals set forth by the Company were approved by its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are detailed below. Five directors were elected to serve on the Company’s Board of Directors until the next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20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 Michael DiMaio, MD, a founder of the Company and Chairman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Cotton, Chairman of the Company’s Audit Committee and Lead Independent Director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Mellish, Chairman of Aspen Advisory Services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Deepak Sadagopan, Business Lead, Value Based Platform at Risant Health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Marion Snyder, Zone Vice President, Strategic Accounts, at Shockwave Medical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also ratified the appointment of Forvis Mazars, LLP as the Company’s independent registered public accounting firm for the 2026 fiscal year and authorized the reservation and issuance of shares of common stock pursuant to a Securities Purchase Agreement dated October 24,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New Chapter for Spectral AI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receipt of FDA clearance for our DeepView System for Burn Indication is the culmination of years of hard work by our dedicated team and a defining moment in Spectral AI’s history,” said Vincent Capone, Chief Executive Officer. “Spectral AI is now poised to evolve from a late stage, pre-clearance medical device company to a scaling, commercially focused enterprise. We are moving forward with renewed momentum and a clear vision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Key 2026 Operational and Business Achievements</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clearance for the DeepView System for Burn Indication; with this classification, Spectral AI is now authorized to commence commercial distribution activities in the United States.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$31.7 million of advanced funding from the Biomedical Advanced Research and Development Authority (“BARDA”) to accelerate and support additional feature aspects for the DeepView System.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leadership team in advance of commercial activities, including the recent appointment of David McGuire as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 fully functioning prototype of our Deep View System handheld device under our Department of Defense contract through the contracting consortium called MTEC.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the development of the Outcome Study, which will focus on the benefits derived from the use of the DeepView System across clinician workflows and patients’ journeys with an intended scope of approximately 286 patients spread across 12 clinical sites.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Showcased the DeepView System at this year’s Annual Meeting of the American Burn Association (“ABA”), which included an overview of the technology to attendees at the ABA Innovation Theater.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“Small Business Innovator Award” at the inaugural Texas Innovation Conference, which was held in April 22-23, 2026 at the campus of Texas Christian University.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Operational and Commercial Milestones</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first-ever commercial sales of the DeepView System by year end 2026:</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Phase II of our contract with BARDA includes funding for the procurement of up to 30 DeepView System devices in burn centers and level one trauma centers and emergency departments across the United States.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312"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International</w:t>
      </w:r>
      <w:r>
        <w:rPr>
          <w:rFonts w:ascii="Times New Roman" w:cs="Times New Roman" w:eastAsia="Times New Roman" w:hAnsi="Times New Roman"/>
          <w:sz w:val="17"/>
          <w:szCs w:val="17"/>
          <w:color w:val="auto"/>
        </w:rPr>
        <w:t>: We anticipate initial sales in the UK, Australia or the Gulf Cooperation Council nations by the fourth quarter of 2026 following an update to our UKCA authorization (initially obtained in 2024) to reflect the characteristics of the DeepView System as cleared by the FDA.</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strengthen executive and sales team by filling key positions to support the commercial roll out of the DeepView System.</w:t>
      </w:r>
    </w:p>
    <w:p>
      <w:pPr>
        <w:spacing w:after="0" w:line="360"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Outcome Study in the fourth quarter of 2026. The Study is designed to demonstrate the surgical precision that results from a wound assessment made by the DeepView System and how improved time to treatment decisions will beneficially impact a patient’s overall care journey.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DeepView System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Spectral AI’s DeepView System is a non-invasive, predictive medical device which combines multispectral imaging with a proprietary AI algorithm to assess the healing potential of areas within the burn wounds. The DeepView System provides clinicians with an immediate, data-driven assessment of whether areas within burn wounds are unlikely to heal within 21 days and may require significant medical intervention, enabling earlier and more informed treatment decisions. The image acquisition takes 0.2 seconds, and all image processing and AI model classification takes approximately 20 to 25 seconds. The DeepView System is trained and tested against a proprietary and clinically validated database of over 340 billion pixels of burn wound image data.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Spectral AI</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Spectral AI, Inc. is a Dallas-based predictive AI company focused on medical diagnostics for faster and more accurate treatment decisions in wound care, with initial applications involving patients with burns. The Company is working to revolutionize the management of wound care by “Seeing the Unknown®” with its DeepView System. The DeepView System is being developed as a predictive diagnostic device to offer clinicians an objective and immediate assessment of a burn wound’s healing potential prior to treatment or other medical intervention. With algorithm-driven results and a goal of exceeding the current standard of care in the future, the DeepView System is expected to provide fast and accurate treatment insight towards value care by improving patient outcomes and reducing healthcare costs. Spectral AI has been named to TIME’s list of World’s Top HealthTech companies 2025. For more information about the DeepView System, visit www.spectral-ai.com.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should carefully consider the foregoing factors, and the other risks and uncertainties described in the “Risk Factors” sections of the Company’s filings with the US Securities and Exchange Commission, including the Company’s Registration Statement and the other documents filed by the Company. These filings identify and address other important risks and uncertainties that could cause actual events and results to differ materially from those contained in the forward-looking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7980" w:type="dxa"/>
            <w:vAlign w:val="bottom"/>
          </w:tcPr>
          <w:p>
            <w:pPr>
              <w:spacing w:after="0"/>
              <w:rPr>
                <w:sz w:val="20"/>
                <w:szCs w:val="20"/>
                <w:color w:val="auto"/>
              </w:rPr>
            </w:pP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Equity Group</w:t>
            </w:r>
          </w:p>
        </w:tc>
        <w:tc>
          <w:tcPr>
            <w:tcW w:w="7980" w:type="dxa"/>
            <w:vAlign w:val="bottom"/>
          </w:tcPr>
          <w:p>
            <w:pPr>
              <w:spacing w:after="0"/>
              <w:rPr>
                <w:sz w:val="24"/>
                <w:szCs w:val="24"/>
                <w:color w:val="auto"/>
              </w:rPr>
            </w:pP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Devin Sullivan</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Conor Rodriguez</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Associate</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Devin.Sullivan@theequitygroup.com</w:t>
            </w:r>
          </w:p>
        </w:tc>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Conor.Rodriguez@theequitygroup.com</w:t>
            </w:r>
          </w:p>
        </w:tc>
      </w:tr>
      <w:tr>
        <w:trPr>
          <w:trHeight w:val="655"/>
        </w:trPr>
        <w:tc>
          <w:tcPr>
            <w:tcW w:w="32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0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2026-06-01T15:35:15Z</dcterms:created>
  <dcterms:modified xsi:type="dcterms:W3CDTF">2026-06-01T15:35:15Z</dcterms:modified>
</cp:coreProperties>
</file>