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DiMaio John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2515 MCKINNEY AVENUE, SUITE 1000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Spectral AI, Inc.</w:t>
              </w:r>
            </w:hyperlink>
            <w:r>
              <w:rPr/>
              <w:t xml:space="preserve"> [ </w:t>
            </w:r>
            <w:r>
              <w:rPr>
                <w:rFonts w:ascii="Times;serif" w:hAnsi="Times;serif"/>
                <w:color w:val="0000FF"/>
                <w:sz w:val="24"/>
                <w:shd w:fill="FFFFFF" w:val="clear"/>
              </w:rPr>
              <w:t>MDAI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08"/>
        <w:gridCol w:w="1272"/>
        <w:gridCol w:w="991"/>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10,988</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w:t>
            </w:r>
            <w:r>
              <w:rPr>
                <w:rFonts w:ascii="Times;serif" w:hAnsi="Times;serif"/>
                <w:color w:val="008000"/>
                <w:position w:val="7"/>
                <w:sz w:val="16"/>
                <w:sz w:val="20"/>
                <w:shd w:fill="FFFFFF" w:val="clear"/>
              </w:rPr>
              <w:t>(1)</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2,809,835</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21,012</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1.69</w:t>
            </w:r>
            <w:r>
              <w:rPr>
                <w:rFonts w:ascii="Times;serif" w:hAnsi="Times;serif"/>
                <w:color w:val="008000"/>
                <w:position w:val="7"/>
                <w:sz w:val="16"/>
                <w:sz w:val="20"/>
                <w:shd w:fill="FFFFFF" w:val="clear"/>
              </w:rPr>
              <w:t>(1)</w:t>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2,830,847</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2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921"/>
        <w:gridCol w:w="801"/>
        <w:gridCol w:w="936"/>
        <w:gridCol w:w="831"/>
        <w:gridCol w:w="846"/>
      </w:tblGrid>
      <w:tr>
        <w:trPr>
          <w:tblHeader w:val="true"/>
        </w:trPr>
        <w:tc>
          <w:tcPr>
            <w:tcW w:w="1212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ISO</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5,292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5,292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ISO</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20,352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20,352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NQSO</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purchased in multiple transactions.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100% of the stock options vested on the date of issuance.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100% of the stock options were vested as of the date 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100,000 of the stock options were vested as of the date hereof. The remaining 150,000 stock options vest upon the achievement of certain milestones.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50% of the RSUs vested on April 20, 2026. 50% of the RSUs will vest on April 1,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Michael DiMaio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3856" TargetMode="External"/><Relationship Id="rId5" Type="http://schemas.openxmlformats.org/officeDocument/2006/relationships/hyperlink" Target="http://www.sec.gov/cgi-bin/browse-edgar?action=getcompany&amp;CIK=00018334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743</Words>
  <Characters>3932</Characters>
  <CharactersWithSpaces>4565</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